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outlineLvl w:val="0"/>
        <w:rPr>
          <w:rFonts w:hint="eastAsia" w:ascii="宋体" w:hAnsi="宋体" w:eastAsia="宋体" w:cs="宋体"/>
          <w:b/>
          <w:bCs/>
          <w:sz w:val="36"/>
          <w:szCs w:val="36"/>
        </w:rPr>
      </w:pPr>
      <w:r>
        <w:rPr>
          <w:rFonts w:hint="eastAsia" w:ascii="宋体" w:hAnsi="宋体" w:eastAsia="宋体" w:cs="宋体"/>
          <w:b/>
          <w:bCs/>
          <w:sz w:val="36"/>
          <w:szCs w:val="36"/>
          <w:lang w:val="en-US" w:eastAsia="zh-CN"/>
        </w:rPr>
        <w:t>云浮市新兴县2025年度土地征收成片开发方案（第一批）</w:t>
      </w:r>
    </w:p>
    <w:p>
      <w:pPr>
        <w:spacing w:line="240" w:lineRule="auto"/>
        <w:ind w:firstLine="0" w:firstLineChars="0"/>
        <w:jc w:val="center"/>
        <w:outlineLvl w:val="0"/>
        <w:rPr>
          <w:rFonts w:hint="default" w:ascii="Times New Roman" w:hAnsi="Times New Roman" w:eastAsia="微软雅黑" w:cs="Times New Roman"/>
          <w:b w:val="0"/>
          <w:bCs w:val="0"/>
          <w:sz w:val="15"/>
          <w:szCs w:val="15"/>
        </w:rPr>
      </w:pPr>
    </w:p>
    <w:p>
      <w:pPr>
        <w:keepNext w:val="0"/>
        <w:keepLines w:val="0"/>
        <w:widowControl/>
        <w:suppressLineNumbers w:val="0"/>
        <w:ind w:left="0" w:lef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按照《中华人民共和国土地管理法》（2019年修正）、《土地征收成片开发标准》（自然资规〔2023〕7号）、《广东省自</w:t>
      </w:r>
      <w:bookmarkStart w:id="0" w:name="_GoBack"/>
      <w:bookmarkEnd w:id="0"/>
      <w:r>
        <w:rPr>
          <w:rFonts w:hint="eastAsia" w:ascii="仿宋_GB2312" w:hAnsi="仿宋_GB2312" w:eastAsia="仿宋_GB2312" w:cs="仿宋_GB2312"/>
          <w:color w:val="000000"/>
          <w:kern w:val="0"/>
          <w:sz w:val="32"/>
          <w:szCs w:val="32"/>
          <w:lang w:val="en-US" w:eastAsia="zh-CN" w:bidi="ar"/>
        </w:rPr>
        <w:t>然资源厅关于进一步规范土地征收成片开发工作的通知》（粤自然资规字〔2024〕7号）、《广东省委托土地征收成片开发方案审批权实施方案》（粤自然资发〔2022〕12号）、《广东省自然资源厅关于进一步明确建设用地审批有关要求的通知》（粤自然资管制〔2021〕1379号）等法律法规的相关规定，依据《新兴县国民经济和社会发展第十四个五年规划和二〇三五年远景目标纲要》《新兴县国土空间总体规划（2021-2035年）》，新兴县人民政府组织编制了《云浮市新兴县2025年度土地征收成片开发方案（第一批）》（以下简称《方案》）。内容如下：</w:t>
      </w:r>
    </w:p>
    <w:p>
      <w:pPr>
        <w:keepNext w:val="0"/>
        <w:keepLines w:val="0"/>
        <w:widowControl/>
        <w:suppressLineNumbers w:val="0"/>
        <w:spacing w:line="240" w:lineRule="auto"/>
        <w:jc w:val="left"/>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一、基本情况</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次《方案》总面积81.5409公顷，其中国有土地12.9740公顷，集体土地68.5669公顷，共涉及6个镇10个村，分别为大江镇梭郎村；河头镇河仔口村；六祖镇旧朗村、十里村；稔村镇坝村、布辰村、双阳村、云礼村；水台镇良田村；天堂镇五二村，土地产权明晰，界址清楚。《方案》拟征收地块59.9007公顷，其中农用地54.8174公顷（其中耕地10.2677公顷），建设用地4.9578公顷，未利用地0.1255公顷。</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二、实施计划</w:t>
      </w:r>
    </w:p>
    <w:p>
      <w:pPr>
        <w:keepNext w:val="0"/>
        <w:keepLines w:val="0"/>
        <w:widowControl/>
        <w:suppressLineNumbers w:val="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方案》实施周期为2025年-2027年，并纳入相关年度的国民经济和社会发展年度计划。计划实施面积59.9007公顷，其中2025年计划实施12.7248公顷，2026年计划实施40.5631公顷，2027年计划实施6.6128公顷，拟征收地块共计11个，项目类型主要为工业用地。详细开发时序和年度实施计划见下表：</w:t>
      </w:r>
    </w:p>
    <w:p>
      <w:pPr>
        <w:pStyle w:val="2"/>
        <w:keepNext/>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b/>
          <w:sz w:val="24"/>
          <w:szCs w:val="21"/>
        </w:rPr>
      </w:pPr>
      <w:r>
        <w:rPr>
          <w:rFonts w:hint="eastAsia"/>
          <w:b/>
          <w:sz w:val="24"/>
          <w:szCs w:val="21"/>
        </w:rPr>
        <w:t>拟安排项目开发时序和实施计划表</w:t>
      </w:r>
    </w:p>
    <w:p>
      <w:pPr>
        <w:keepNext/>
        <w:keepLines w:val="0"/>
        <w:pageBreakBefore w:val="0"/>
        <w:widowControl/>
        <w:kinsoku/>
        <w:wordWrap/>
        <w:overflowPunct/>
        <w:topLinePunct w:val="0"/>
        <w:autoSpaceDE/>
        <w:autoSpaceDN/>
        <w:bidi w:val="0"/>
        <w:adjustRightInd/>
        <w:snapToGrid/>
        <w:spacing w:line="240" w:lineRule="auto"/>
        <w:jc w:val="right"/>
        <w:textAlignment w:val="auto"/>
      </w:pPr>
      <w:r>
        <w:rPr>
          <w:rFonts w:hint="eastAsia" w:ascii="Times New Roman" w:hAnsi="Times New Roman" w:eastAsia="仿宋" w:cstheme="minorBidi"/>
          <w:b w:val="0"/>
          <w:bCs/>
          <w:kern w:val="2"/>
          <w:sz w:val="21"/>
          <w:szCs w:val="21"/>
          <w:lang w:val="en-US" w:eastAsia="zh-CN" w:bidi="ar-SA"/>
        </w:rPr>
        <w:t>单位：</w:t>
      </w:r>
      <w:r>
        <w:rPr>
          <w:rFonts w:hint="eastAsia" w:cstheme="minorBidi"/>
          <w:b w:val="0"/>
          <w:bCs/>
          <w:kern w:val="2"/>
          <w:sz w:val="21"/>
          <w:szCs w:val="21"/>
          <w:lang w:val="en-US" w:eastAsia="zh-CN" w:bidi="ar-SA"/>
        </w:rPr>
        <w:t>年、</w:t>
      </w:r>
      <w:r>
        <w:rPr>
          <w:rFonts w:hint="eastAsia" w:ascii="Times New Roman" w:hAnsi="Times New Roman" w:eastAsia="仿宋" w:cstheme="minorBidi"/>
          <w:b w:val="0"/>
          <w:bCs/>
          <w:kern w:val="2"/>
          <w:sz w:val="21"/>
          <w:szCs w:val="21"/>
          <w:lang w:val="en-US" w:eastAsia="zh-CN" w:bidi="ar-SA"/>
        </w:rPr>
        <w:t>公顷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1944"/>
        <w:gridCol w:w="3165"/>
        <w:gridCol w:w="1034"/>
        <w:gridCol w:w="1665"/>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86"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成片开发范围名称</w:t>
            </w:r>
          </w:p>
        </w:tc>
        <w:tc>
          <w:tcPr>
            <w:tcW w:w="1768"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拟征收地块名称</w:t>
            </w:r>
          </w:p>
        </w:tc>
        <w:tc>
          <w:tcPr>
            <w:tcW w:w="577"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拟征收地块面积</w:t>
            </w:r>
          </w:p>
        </w:tc>
        <w:tc>
          <w:tcPr>
            <w:tcW w:w="929"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项目类型</w:t>
            </w:r>
          </w:p>
        </w:tc>
        <w:tc>
          <w:tcPr>
            <w:tcW w:w="373"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开发时序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i w:val="0"/>
                <w:iCs w:val="0"/>
                <w:color w:val="000000"/>
                <w:sz w:val="21"/>
                <w:szCs w:val="21"/>
                <w:u w:val="none"/>
              </w:rPr>
            </w:pPr>
          </w:p>
        </w:tc>
        <w:tc>
          <w:tcPr>
            <w:tcW w:w="1086" w:type="pct"/>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i w:val="0"/>
                <w:iCs w:val="0"/>
                <w:color w:val="000000"/>
                <w:sz w:val="21"/>
                <w:szCs w:val="21"/>
                <w:u w:val="none"/>
              </w:rPr>
            </w:pPr>
          </w:p>
        </w:tc>
        <w:tc>
          <w:tcPr>
            <w:tcW w:w="1768" w:type="pct"/>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i w:val="0"/>
                <w:iCs w:val="0"/>
                <w:color w:val="000000"/>
                <w:sz w:val="21"/>
                <w:szCs w:val="21"/>
                <w:u w:val="none"/>
              </w:rPr>
            </w:pPr>
          </w:p>
        </w:tc>
        <w:tc>
          <w:tcPr>
            <w:tcW w:w="577" w:type="pct"/>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i w:val="0"/>
                <w:iCs w:val="0"/>
                <w:color w:val="000000"/>
                <w:sz w:val="21"/>
                <w:szCs w:val="21"/>
                <w:u w:val="none"/>
              </w:rPr>
            </w:pPr>
          </w:p>
        </w:tc>
        <w:tc>
          <w:tcPr>
            <w:tcW w:w="929" w:type="pct"/>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i w:val="0"/>
                <w:iCs w:val="0"/>
                <w:color w:val="000000"/>
                <w:sz w:val="21"/>
                <w:szCs w:val="21"/>
                <w:u w:val="none"/>
              </w:rPr>
            </w:pPr>
          </w:p>
        </w:tc>
        <w:tc>
          <w:tcPr>
            <w:tcW w:w="373" w:type="pct"/>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天堂镇五二片区一</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天堂镇地块</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1.7863</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天堂镇五二片区二</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广东省大拇指农业有限公司年加工大米</w:t>
            </w:r>
            <w:r>
              <w:rPr>
                <w:rStyle w:val="6"/>
                <w:rFonts w:eastAsia="仿宋"/>
                <w:lang w:val="en-US" w:eastAsia="zh-CN" w:bidi="ar"/>
              </w:rPr>
              <w:t>4</w:t>
            </w:r>
            <w:r>
              <w:rPr>
                <w:rStyle w:val="7"/>
                <w:lang w:val="en-US" w:eastAsia="zh-CN" w:bidi="ar"/>
              </w:rPr>
              <w:t>万吨项目</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1.4638</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稔村镇坝村片区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新成工业园东园稔村片区</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1.6193</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六祖镇十里片区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新成工业园南园建设工程项目</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31.7217</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河头镇河仔口片区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中山众力高荷载绿色建材项目</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3.3627</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六祖镇旧朗片区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东江留用地</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2.8522</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城镇住宅用地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水台镇良田片区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广东华陶陶瓷有限公司抛光项目</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2.6206</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水台镇杜村片区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广东榄辰智慧包装科技有限公司</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5.3882</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稔村镇布辰片区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金益利项目</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5.6327</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稔村镇云礼片区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稔村镇金粮米业项目</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3.0347</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263"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86"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大江镇梭朗片区</w:t>
            </w:r>
          </w:p>
        </w:tc>
        <w:tc>
          <w:tcPr>
            <w:tcW w:w="1768"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大江梭郎项目</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0.4185</w:t>
            </w:r>
          </w:p>
        </w:tc>
        <w:tc>
          <w:tcPr>
            <w:tcW w:w="929"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商业服务业用地</w:t>
            </w:r>
          </w:p>
        </w:tc>
        <w:tc>
          <w:tcPr>
            <w:tcW w:w="373"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118" w:type="pct"/>
            <w:gridSpan w:val="3"/>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577" w:type="pct"/>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59.9007</w:t>
            </w:r>
          </w:p>
        </w:tc>
        <w:tc>
          <w:tcPr>
            <w:tcW w:w="1303" w:type="pct"/>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p>
        </w:tc>
      </w:tr>
    </w:tbl>
    <w:p>
      <w:pPr>
        <w:ind w:left="0" w:leftChars="0" w:firstLine="0" w:firstLineChars="0"/>
      </w:pPr>
    </w:p>
    <w:sectPr>
      <w:pgSz w:w="11906" w:h="16838"/>
      <w:pgMar w:top="2154" w:right="1587" w:bottom="204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B7F95"/>
    <w:rsid w:val="0EE00404"/>
    <w:rsid w:val="11BD062E"/>
    <w:rsid w:val="144229DA"/>
    <w:rsid w:val="1F7330AD"/>
    <w:rsid w:val="23BB7F95"/>
    <w:rsid w:val="24AE5272"/>
    <w:rsid w:val="28F63C73"/>
    <w:rsid w:val="40F90243"/>
    <w:rsid w:val="5E571D77"/>
    <w:rsid w:val="70912ED7"/>
    <w:rsid w:val="71B37639"/>
    <w:rsid w:val="7277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imes New Roman" w:hAnsi="Times New Roman" w:eastAsia="仿宋"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next w:val="1"/>
    <w:unhideWhenUsed/>
    <w:qFormat/>
    <w:uiPriority w:val="35"/>
    <w:pPr>
      <w:widowControl/>
      <w:ind w:firstLine="0" w:firstLineChars="0"/>
      <w:jc w:val="center"/>
    </w:pPr>
    <w:rPr>
      <w:b/>
      <w:sz w:val="21"/>
      <w:szCs w:val="21"/>
    </w:rPr>
  </w:style>
  <w:style w:type="paragraph" w:styleId="3">
    <w:name w:val="annotation text"/>
    <w:basedOn w:val="1"/>
    <w:qFormat/>
    <w:uiPriority w:val="0"/>
    <w:pPr>
      <w:jc w:val="left"/>
    </w:pPr>
  </w:style>
  <w:style w:type="character" w:customStyle="1" w:styleId="6">
    <w:name w:val="font21"/>
    <w:basedOn w:val="5"/>
    <w:qFormat/>
    <w:uiPriority w:val="0"/>
    <w:rPr>
      <w:rFonts w:hint="default" w:ascii="Times New Roman" w:hAnsi="Times New Roman" w:cs="Times New Roman"/>
      <w:color w:val="000000"/>
      <w:sz w:val="21"/>
      <w:szCs w:val="21"/>
      <w:u w:val="none"/>
    </w:rPr>
  </w:style>
  <w:style w:type="character" w:customStyle="1" w:styleId="7">
    <w:name w:val="font31"/>
    <w:basedOn w:val="5"/>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952</Words>
  <Characters>1170</Characters>
  <Lines>0</Lines>
  <Paragraphs>0</Paragraphs>
  <TotalTime>1</TotalTime>
  <ScaleCrop>false</ScaleCrop>
  <LinksUpToDate>false</LinksUpToDate>
  <CharactersWithSpaces>1170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2024-11-25T07:54:00Z</dcterms:created>
  <dc:creator>DANY</dc:creator>
  <cp:lastModifiedBy>盘润开</cp:lastModifiedBy>
  <dcterms:modified xsi:type="dcterms:W3CDTF">2025-07-30T02:28:31Z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26090AC7FB9941B381BD1E11729967BB_13</vt:lpwstr>
  </property>
  <property fmtid="{D5CDD505-2E9C-101B-9397-08002B2CF9AE}" pid="4" name="KSOTemplateDocerSaveRecord">
    <vt:lpwstr>eyJoZGlkIjoiMzhiMzlhNDgzNzdmOGRmMjAxZTYwMTMzY2ViNmZhYjMiLCJ1c2VySWQiOiI0MTIyNzQxNzUifQ==</vt:lpwstr>
  </property>
</Properties>
</file>