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color w:val="auto"/>
          <w:kern w:val="0"/>
          <w:sz w:val="44"/>
          <w:szCs w:val="44"/>
        </w:rPr>
      </w:pPr>
      <w:bookmarkStart w:id="0" w:name="_Hlk116222198"/>
      <w:bookmarkStart w:id="1" w:name="_Toc435208498"/>
      <w:bookmarkStart w:id="2" w:name="_Toc369607569"/>
      <w:bookmarkStart w:id="3" w:name="_Hlk155599469"/>
      <w:bookmarkStart w:id="4" w:name="_Toc491950903"/>
      <w:bookmarkStart w:id="5" w:name="_Hlk60671893"/>
      <w:bookmarkStart w:id="6" w:name="_Hlk145669831"/>
      <w:bookmarkStart w:id="7" w:name="_Hlk145669958"/>
      <w:bookmarkStart w:id="8" w:name="_Toc489205644"/>
      <w:bookmarkStart w:id="9" w:name="_Toc425700744"/>
      <w:bookmarkStart w:id="10" w:name="_Toc165970767"/>
      <w:bookmarkStart w:id="11" w:name="_Toc427081159"/>
      <w:r>
        <w:rPr>
          <w:rFonts w:hint="eastAsia" w:ascii="方正小标宋简体" w:hAnsi="方正小标宋简体" w:eastAsia="方正小标宋简体" w:cs="方正小标宋简体"/>
          <w:b w:val="0"/>
          <w:bCs/>
          <w:color w:val="auto"/>
          <w:kern w:val="0"/>
          <w:sz w:val="44"/>
          <w:szCs w:val="44"/>
        </w:rPr>
        <w:t>新兴县2025年国有建设用地基准地价</w:t>
      </w:r>
    </w:p>
    <w:p>
      <w:pPr>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color w:val="auto"/>
          <w:kern w:val="0"/>
          <w:sz w:val="44"/>
          <w:szCs w:val="44"/>
          <w:lang w:val="en-US"/>
        </w:rPr>
      </w:pPr>
      <w:r>
        <w:rPr>
          <w:rFonts w:hint="eastAsia" w:ascii="方正小标宋简体" w:hAnsi="方正小标宋简体" w:eastAsia="方正小标宋简体" w:cs="方正小标宋简体"/>
          <w:b w:val="0"/>
          <w:bCs/>
          <w:color w:val="auto"/>
          <w:kern w:val="0"/>
          <w:sz w:val="44"/>
          <w:szCs w:val="44"/>
          <w:lang w:val="en-US" w:eastAsia="zh-CN"/>
        </w:rPr>
        <w:t>更新成果</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outlineLvl w:val="1"/>
        <w:rPr>
          <w:rFonts w:eastAsia="黑体"/>
          <w:b/>
          <w:bCs/>
          <w:color w:val="auto"/>
          <w:kern w:val="0"/>
          <w:sz w:val="32"/>
          <w:szCs w:val="32"/>
        </w:rPr>
      </w:pPr>
      <w:bookmarkStart w:id="12" w:name="_Toc165970768"/>
      <w:bookmarkStart w:id="13" w:name="_Toc489205645"/>
      <w:bookmarkStart w:id="14" w:name="_Toc369607570"/>
      <w:bookmarkStart w:id="15" w:name="_Toc491950904"/>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eastAsia="黑体"/>
          <w:b w:val="0"/>
          <w:bCs w:val="0"/>
          <w:color w:val="auto"/>
          <w:kern w:val="0"/>
          <w:sz w:val="32"/>
          <w:szCs w:val="32"/>
        </w:rPr>
      </w:pPr>
      <w:r>
        <w:rPr>
          <w:rFonts w:hint="eastAsia" w:eastAsia="黑体"/>
          <w:b w:val="0"/>
          <w:bCs w:val="0"/>
          <w:color w:val="auto"/>
          <w:kern w:val="0"/>
          <w:sz w:val="32"/>
          <w:szCs w:val="32"/>
        </w:rPr>
        <w:t>一、</w:t>
      </w:r>
      <w:r>
        <w:rPr>
          <w:rFonts w:eastAsia="黑体"/>
          <w:b w:val="0"/>
          <w:bCs w:val="0"/>
          <w:color w:val="auto"/>
          <w:kern w:val="0"/>
          <w:sz w:val="32"/>
          <w:szCs w:val="32"/>
        </w:rPr>
        <w:t>工作范围</w:t>
      </w:r>
      <w:bookmarkEnd w:id="12"/>
      <w:bookmarkEnd w:id="13"/>
      <w:bookmarkEnd w:id="14"/>
      <w:bookmarkEnd w:id="15"/>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bookmarkStart w:id="16" w:name="_Toc489205646"/>
      <w:bookmarkStart w:id="17" w:name="_Toc491950905"/>
      <w:bookmarkStart w:id="18" w:name="_Toc165970769"/>
      <w:bookmarkStart w:id="19" w:name="_Toc488916264"/>
      <w:bookmarkStart w:id="20" w:name="_Toc469393655"/>
      <w:bookmarkStart w:id="21" w:name="_Toc469663635"/>
      <w:bookmarkStart w:id="22" w:name="_Toc486351153"/>
      <w:bookmarkStart w:id="23" w:name="_Toc491950906"/>
      <w:r>
        <w:rPr>
          <w:rFonts w:hint="eastAsia" w:ascii="仿宋_GB2312" w:hAnsi="仿宋_GB2312" w:eastAsia="仿宋_GB2312" w:cs="仿宋_GB2312"/>
          <w:color w:val="auto"/>
          <w:sz w:val="32"/>
          <w:szCs w:val="32"/>
        </w:rPr>
        <w:t>新兴县2025年国有建设用地基准地价更新项目的工作范围为新兴县行政辖区内全域范围，包括新城镇、六祖镇、东成镇、太平镇、天堂镇、簕竹镇、河头镇、车岗镇、稔村镇、水台镇、里洞镇、大江镇。本轮更新范围与《新兴县国土空间总体规划（2021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2035年）》及各片区控制性详细规划相衔接，评估总面积约1522.27平方公里。</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eastAsia="黑体"/>
          <w:b w:val="0"/>
          <w:bCs w:val="0"/>
          <w:color w:val="auto"/>
          <w:kern w:val="0"/>
          <w:sz w:val="32"/>
          <w:szCs w:val="32"/>
        </w:rPr>
      </w:pPr>
      <w:r>
        <w:rPr>
          <w:rFonts w:hint="eastAsia" w:eastAsia="黑体"/>
          <w:b w:val="0"/>
          <w:bCs w:val="0"/>
          <w:color w:val="auto"/>
          <w:kern w:val="0"/>
          <w:sz w:val="32"/>
          <w:szCs w:val="32"/>
        </w:rPr>
        <w:t>二、</w:t>
      </w:r>
      <w:r>
        <w:rPr>
          <w:rFonts w:eastAsia="黑体"/>
          <w:b w:val="0"/>
          <w:bCs w:val="0"/>
          <w:color w:val="auto"/>
          <w:kern w:val="0"/>
          <w:sz w:val="32"/>
          <w:szCs w:val="32"/>
        </w:rPr>
        <w:t>基准地价内涵</w:t>
      </w:r>
      <w:bookmarkEnd w:id="16"/>
      <w:bookmarkEnd w:id="17"/>
      <w:bookmarkEnd w:id="18"/>
    </w:p>
    <w:bookmarkEnd w:id="19"/>
    <w:bookmarkEnd w:id="20"/>
    <w:bookmarkEnd w:id="21"/>
    <w:bookmarkEnd w:id="22"/>
    <w:p>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auto"/>
          <w:kern w:val="0"/>
          <w:sz w:val="32"/>
          <w:szCs w:val="32"/>
        </w:rPr>
      </w:pPr>
      <w:bookmarkStart w:id="24" w:name="OLE_LINK16"/>
      <w:bookmarkStart w:id="25" w:name="OLE_LINK26"/>
      <w:bookmarkStart w:id="26" w:name="_Toc165970770"/>
      <w:r>
        <w:rPr>
          <w:rFonts w:hint="eastAsia" w:eastAsia="仿宋_GB2312"/>
          <w:color w:val="auto"/>
          <w:kern w:val="0"/>
          <w:sz w:val="32"/>
          <w:szCs w:val="32"/>
        </w:rPr>
        <w:t>基准地价</w:t>
      </w:r>
      <w:bookmarkEnd w:id="24"/>
      <w:r>
        <w:rPr>
          <w:rFonts w:hint="eastAsia" w:eastAsia="仿宋_GB2312"/>
          <w:color w:val="auto"/>
          <w:kern w:val="0"/>
          <w:sz w:val="32"/>
          <w:szCs w:val="32"/>
        </w:rPr>
        <w:t>是在国土空间规划确定的城镇可建设用地范围内，对平均开发利用条件下，不同级别或不同均质地域的建设用地，按照商服、住宅、工业、公共管理与公共服务、公用设施等用途分别评估，并由政府确定的，某一估价期日法定最高使用年期土地权利的区域平均价格。</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auto"/>
          <w:kern w:val="0"/>
          <w:sz w:val="32"/>
          <w:szCs w:val="32"/>
        </w:rPr>
      </w:pPr>
      <w:r>
        <w:rPr>
          <w:rFonts w:hint="eastAsia" w:eastAsia="仿宋_GB2312"/>
          <w:color w:val="auto"/>
          <w:kern w:val="0"/>
          <w:sz w:val="32"/>
          <w:szCs w:val="32"/>
        </w:rPr>
        <w:t>本次基准地价是指熟地条件下的地价，即指在设定容积率、法定最高使用年期，设定土地开发程度条件下，分用途的国有土地使用权价格。具体是指：</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商业路线价内涵</w:t>
      </w:r>
      <w:r>
        <w:rPr>
          <w:rFonts w:hint="eastAsia" w:ascii="仿宋_GB2312" w:hAnsi="仿宋_GB2312" w:eastAsia="仿宋_GB2312" w:cs="仿宋_GB2312"/>
          <w:color w:val="auto"/>
          <w:sz w:val="32"/>
          <w:szCs w:val="32"/>
        </w:rPr>
        <w:t>：估价期日为2025年10月1日，设定容积率为2.0，土地使用年期为40年，土地开发程度为“五通一平”（即宗地红线外通路、通电、通上水、通下水、通讯，宗地红线内场地平整），宗地标准宽度设定为5米，标准深度设定为10米条件下，商服用地土地使用权的区域首层楼面地价。</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商服用地基准地价内涵</w:t>
      </w:r>
      <w:r>
        <w:rPr>
          <w:rFonts w:hint="eastAsia" w:ascii="仿宋_GB2312" w:hAnsi="仿宋_GB2312" w:eastAsia="仿宋_GB2312" w:cs="仿宋_GB2312"/>
          <w:color w:val="auto"/>
          <w:sz w:val="32"/>
          <w:szCs w:val="32"/>
        </w:rPr>
        <w:t>：估价期日为2025年10月1日，设定容积率为2.0，土地使用年期为40年，土地开发程度为“五通一平”（即宗地红线外通路、通电、通上水、通下水、通讯，宗地红线内场地平整）条件下，商服用地土地使用权的区域平均楼面地价和地面地价。</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住宅用地基准地价内涵</w:t>
      </w:r>
      <w:r>
        <w:rPr>
          <w:rFonts w:hint="eastAsia" w:ascii="仿宋_GB2312" w:hAnsi="仿宋_GB2312" w:eastAsia="仿宋_GB2312" w:cs="仿宋_GB2312"/>
          <w:color w:val="auto"/>
          <w:sz w:val="32"/>
          <w:szCs w:val="32"/>
        </w:rPr>
        <w:t>：估价期日为2025年10月1日，设定容积率为2.0，土地使用年期为70年，土地开发程度为“五通一平”（即宗地红线外通路、通电、通上水、通下水、通讯，宗地红线内场地平整）条件下，住宅用地土地使用权的区域平均楼面地价和地面地价。</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工业用地基准地价内涵</w:t>
      </w:r>
      <w:r>
        <w:rPr>
          <w:rFonts w:hint="eastAsia" w:ascii="仿宋_GB2312" w:hAnsi="仿宋_GB2312" w:eastAsia="仿宋_GB2312" w:cs="仿宋_GB2312"/>
          <w:color w:val="auto"/>
          <w:sz w:val="32"/>
          <w:szCs w:val="32"/>
        </w:rPr>
        <w:t>：估价期日为2025年10月1日，设定容积率为1.0，土地使用年期为50年，土地开发程度为“五通一平”（即宗地红线外通路、通电、通上水、通下水、通讯，宗地红线内场地平整）条件下，工业用地土地使用权的区域地面地价。</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公共管理与公共服务用地基准地价内涵</w:t>
      </w:r>
      <w:r>
        <w:rPr>
          <w:rFonts w:hint="eastAsia" w:ascii="仿宋_GB2312" w:hAnsi="仿宋_GB2312" w:eastAsia="仿宋_GB2312" w:cs="仿宋_GB2312"/>
          <w:color w:val="auto"/>
          <w:sz w:val="32"/>
          <w:szCs w:val="32"/>
        </w:rPr>
        <w:t>：</w:t>
      </w:r>
      <w:bookmarkStart w:id="27" w:name="_Hlk211173255"/>
      <w:r>
        <w:rPr>
          <w:rFonts w:hint="eastAsia" w:ascii="仿宋_GB2312" w:hAnsi="仿宋_GB2312" w:eastAsia="仿宋_GB2312" w:cs="仿宋_GB2312"/>
          <w:color w:val="auto"/>
          <w:sz w:val="32"/>
          <w:szCs w:val="32"/>
        </w:rPr>
        <w:t>估价期日为2025年10月1日，设定容积率为1.5，土地使用年期为50年，土地开发程度为“五通一平”（即宗地红线外通路、通电、通上水、通下水、通讯，宗地红线内场地平整）条件下，公共管理与公共服务用地土地使用权的区域平均楼面地价和地面地价</w:t>
      </w:r>
      <w:bookmarkEnd w:id="27"/>
      <w:r>
        <w:rPr>
          <w:rFonts w:hint="eastAsia" w:ascii="仿宋_GB2312" w:hAnsi="仿宋_GB2312" w:eastAsia="仿宋_GB2312" w:cs="仿宋_GB2312"/>
          <w:color w:val="auto"/>
          <w:sz w:val="32"/>
          <w:szCs w:val="32"/>
        </w:rPr>
        <w:t>。</w:t>
      </w:r>
    </w:p>
    <w:p>
      <w:pPr>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公用设施用地基准地价内涵</w:t>
      </w:r>
      <w:r>
        <w:rPr>
          <w:rFonts w:hint="eastAsia" w:ascii="仿宋_GB2312" w:hAnsi="仿宋_GB2312" w:eastAsia="仿宋_GB2312" w:cs="仿宋_GB2312"/>
          <w:color w:val="auto"/>
          <w:sz w:val="32"/>
          <w:szCs w:val="32"/>
        </w:rPr>
        <w:t>：估价期日为2025年10月1日，设定容积率为1.0，土地使用年期为50年，土地开发程度为“五通一平”（即宗地红线外通路、通电、通上水、通下水、通讯，宗地红线内场地平整）条件下，公用设施用地土地使用权的区域地面地价。</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商业路线价采用首层楼面地价表现形式，商服用地、住宅用地以及公共管理与公共服务用地基准地价采用地面地价和平均楼面地价表现形式，工业用地和公用设施用地基准地价采用地面地价表现形式</w:t>
      </w:r>
      <w:r>
        <w:rPr>
          <w:rFonts w:hint="eastAsia" w:ascii="仿宋_GB2312" w:hAnsi="仿宋_GB2312" w:eastAsia="仿宋_GB2312" w:cs="仿宋_GB2312"/>
          <w:color w:val="auto"/>
          <w:kern w:val="0"/>
          <w:sz w:val="32"/>
          <w:szCs w:val="32"/>
        </w:rPr>
        <w:t>。</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auto"/>
          <w:sz w:val="32"/>
          <w:szCs w:val="32"/>
        </w:rPr>
      </w:pPr>
      <w:r>
        <w:rPr>
          <w:rFonts w:hint="eastAsia" w:eastAsia="仿宋_GB2312"/>
          <w:color w:val="auto"/>
          <w:sz w:val="32"/>
          <w:szCs w:val="32"/>
        </w:rPr>
        <w:t>各用途基准地价内涵如下表：</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auto"/>
          <w:sz w:val="32"/>
          <w:szCs w:val="32"/>
        </w:rPr>
      </w:pPr>
    </w:p>
    <w:p>
      <w:pPr>
        <w:adjustRightInd w:val="0"/>
        <w:snapToGrid w:val="0"/>
        <w:spacing w:line="312" w:lineRule="auto"/>
        <w:jc w:val="center"/>
        <w:rPr>
          <w:rFonts w:eastAsia="仿宋_GB2312"/>
          <w:b/>
          <w:color w:val="auto"/>
          <w:sz w:val="24"/>
        </w:rPr>
      </w:pPr>
      <w:r>
        <w:rPr>
          <w:rFonts w:hint="eastAsia" w:eastAsia="仿宋_GB2312"/>
          <w:b/>
          <w:color w:val="auto"/>
          <w:sz w:val="24"/>
        </w:rPr>
        <w:t>表2</w:t>
      </w:r>
      <w:r>
        <w:rPr>
          <w:rFonts w:eastAsia="仿宋_GB2312"/>
          <w:b/>
          <w:color w:val="auto"/>
          <w:sz w:val="24"/>
        </w:rPr>
        <w:t>-</w:t>
      </w:r>
      <w:r>
        <w:rPr>
          <w:rFonts w:hint="eastAsia" w:eastAsia="仿宋_GB2312"/>
          <w:b/>
          <w:color w:val="auto"/>
          <w:sz w:val="24"/>
        </w:rPr>
        <w:t>1</w:t>
      </w:r>
      <w:r>
        <w:rPr>
          <w:rFonts w:eastAsia="仿宋_GB2312"/>
          <w:b/>
          <w:color w:val="auto"/>
          <w:sz w:val="24"/>
        </w:rPr>
        <w:t xml:space="preserve">-1  </w:t>
      </w:r>
      <w:r>
        <w:rPr>
          <w:rFonts w:hint="eastAsia" w:eastAsia="仿宋_GB2312"/>
          <w:b/>
          <w:color w:val="auto"/>
          <w:sz w:val="24"/>
        </w:rPr>
        <w:t>新兴县2025年国有建设用地基准地价内涵表</w:t>
      </w:r>
    </w:p>
    <w:tbl>
      <w:tblPr>
        <w:tblStyle w:val="88"/>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3"/>
        <w:gridCol w:w="1772"/>
        <w:gridCol w:w="1408"/>
        <w:gridCol w:w="1344"/>
        <w:gridCol w:w="1573"/>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67" w:type="pct"/>
            <w:tcBorders>
              <w:top w:val="single" w:color="auto" w:sz="4" w:space="0"/>
              <w:left w:val="single" w:color="auto" w:sz="4" w:space="0"/>
              <w:bottom w:val="single" w:color="auto" w:sz="4" w:space="0"/>
              <w:right w:val="single" w:color="auto" w:sz="4" w:space="0"/>
              <w:tl2br w:val="single" w:color="auto" w:sz="4" w:space="0"/>
            </w:tcBorders>
          </w:tcPr>
          <w:p>
            <w:pPr>
              <w:adjustRightInd w:val="0"/>
              <w:snapToGrid w:val="0"/>
              <w:spacing w:line="240" w:lineRule="auto"/>
              <w:jc w:val="right"/>
              <w:rPr>
                <w:rFonts w:hint="eastAsia" w:eastAsia="仿宋_GB2312"/>
                <w:b/>
                <w:color w:val="auto"/>
                <w:sz w:val="24"/>
              </w:rPr>
            </w:pPr>
            <w:bookmarkStart w:id="28" w:name="_Hlk69839823"/>
            <w:r>
              <w:rPr>
                <w:rFonts w:hint="eastAsia" w:eastAsia="仿宋_GB2312"/>
                <w:b/>
                <w:color w:val="auto"/>
                <w:sz w:val="24"/>
              </w:rPr>
              <w:t>土地用途</w:t>
            </w:r>
          </w:p>
          <w:p>
            <w:pPr>
              <w:adjustRightInd w:val="0"/>
              <w:snapToGrid w:val="0"/>
              <w:spacing w:line="240" w:lineRule="auto"/>
              <w:jc w:val="right"/>
              <w:rPr>
                <w:rFonts w:hint="eastAsia" w:eastAsia="仿宋_GB2312"/>
                <w:b/>
                <w:color w:val="auto"/>
                <w:sz w:val="24"/>
              </w:rPr>
            </w:pPr>
          </w:p>
          <w:p>
            <w:pPr>
              <w:adjustRightInd w:val="0"/>
              <w:snapToGrid w:val="0"/>
              <w:spacing w:line="240" w:lineRule="auto"/>
              <w:rPr>
                <w:rFonts w:eastAsia="仿宋_GB2312"/>
                <w:b/>
                <w:color w:val="auto"/>
                <w:sz w:val="24"/>
              </w:rPr>
            </w:pPr>
            <w:r>
              <w:rPr>
                <w:rFonts w:hint="eastAsia" w:eastAsia="仿宋_GB2312"/>
                <w:b/>
                <w:color w:val="auto"/>
                <w:sz w:val="24"/>
              </w:rPr>
              <w:t>项目</w:t>
            </w:r>
          </w:p>
        </w:tc>
        <w:tc>
          <w:tcPr>
            <w:tcW w:w="9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商服用地</w:t>
            </w:r>
          </w:p>
        </w:tc>
        <w:tc>
          <w:tcPr>
            <w:tcW w:w="7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住宅用地</w:t>
            </w:r>
          </w:p>
        </w:tc>
        <w:tc>
          <w:tcPr>
            <w:tcW w:w="73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工业用地</w:t>
            </w:r>
          </w:p>
        </w:tc>
        <w:tc>
          <w:tcPr>
            <w:tcW w:w="86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2"/>
                <w:sz w:val="24"/>
              </w:rPr>
            </w:pPr>
            <w:bookmarkStart w:id="29" w:name="_Hlk104189778"/>
            <w:r>
              <w:rPr>
                <w:rFonts w:hint="eastAsia" w:eastAsia="仿宋_GB2312"/>
                <w:b/>
                <w:color w:val="auto"/>
                <w:spacing w:val="-12"/>
                <w:sz w:val="24"/>
              </w:rPr>
              <w:t>公共管理与公共服务用地</w:t>
            </w:r>
            <w:bookmarkEnd w:id="29"/>
          </w:p>
        </w:tc>
        <w:tc>
          <w:tcPr>
            <w:tcW w:w="68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2"/>
                <w:sz w:val="24"/>
              </w:rPr>
            </w:pPr>
            <w:r>
              <w:rPr>
                <w:rFonts w:hint="eastAsia" w:eastAsia="仿宋_GB2312"/>
                <w:b/>
                <w:color w:val="auto"/>
                <w:spacing w:val="-12"/>
                <w:sz w:val="24"/>
              </w:rPr>
              <w:t>公用设施用地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6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估价期日</w:t>
            </w:r>
          </w:p>
        </w:tc>
        <w:tc>
          <w:tcPr>
            <w:tcW w:w="4032" w:type="pct"/>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2025年10月1日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6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土地开发程度</w:t>
            </w:r>
          </w:p>
        </w:tc>
        <w:tc>
          <w:tcPr>
            <w:tcW w:w="4032" w:type="pct"/>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五通一平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6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法定使用年期</w:t>
            </w:r>
          </w:p>
        </w:tc>
        <w:tc>
          <w:tcPr>
            <w:tcW w:w="9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40年</w:t>
            </w:r>
          </w:p>
        </w:tc>
        <w:tc>
          <w:tcPr>
            <w:tcW w:w="7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70年</w:t>
            </w:r>
          </w:p>
        </w:tc>
        <w:tc>
          <w:tcPr>
            <w:tcW w:w="73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50年</w:t>
            </w:r>
          </w:p>
        </w:tc>
        <w:tc>
          <w:tcPr>
            <w:tcW w:w="86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50年</w:t>
            </w:r>
          </w:p>
        </w:tc>
        <w:tc>
          <w:tcPr>
            <w:tcW w:w="687" w:type="pct"/>
            <w:tcBorders>
              <w:top w:val="single" w:color="auto" w:sz="4" w:space="0"/>
              <w:left w:val="single" w:color="auto" w:sz="4" w:space="0"/>
              <w:bottom w:val="single" w:color="auto" w:sz="4" w:space="0"/>
              <w:right w:val="single" w:color="auto" w:sz="4" w:space="0"/>
            </w:tcBorders>
          </w:tcPr>
          <w:p>
            <w:pPr>
              <w:adjustRightInd w:val="0"/>
              <w:snapToGrid w:val="0"/>
              <w:spacing w:line="240" w:lineRule="auto"/>
              <w:jc w:val="center"/>
              <w:rPr>
                <w:rFonts w:eastAsia="仿宋_GB2312"/>
                <w:color w:val="auto"/>
                <w:sz w:val="24"/>
              </w:rPr>
            </w:pPr>
            <w:r>
              <w:rPr>
                <w:rFonts w:eastAsia="仿宋_GB2312"/>
                <w:color w:val="auto"/>
                <w:sz w:val="24"/>
              </w:rPr>
              <w:t>50年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6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设定容积率</w:t>
            </w:r>
          </w:p>
        </w:tc>
        <w:tc>
          <w:tcPr>
            <w:tcW w:w="9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2.0</w:t>
            </w:r>
          </w:p>
        </w:tc>
        <w:tc>
          <w:tcPr>
            <w:tcW w:w="7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2.0</w:t>
            </w:r>
          </w:p>
        </w:tc>
        <w:tc>
          <w:tcPr>
            <w:tcW w:w="73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1.0</w:t>
            </w:r>
          </w:p>
        </w:tc>
        <w:tc>
          <w:tcPr>
            <w:tcW w:w="86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1.5</w:t>
            </w:r>
          </w:p>
        </w:tc>
        <w:tc>
          <w:tcPr>
            <w:tcW w:w="687" w:type="pct"/>
            <w:tcBorders>
              <w:top w:val="single" w:color="auto" w:sz="4" w:space="0"/>
              <w:left w:val="single" w:color="auto" w:sz="4" w:space="0"/>
              <w:bottom w:val="single" w:color="auto" w:sz="4" w:space="0"/>
              <w:right w:val="single" w:color="auto" w:sz="4" w:space="0"/>
            </w:tcBorders>
          </w:tcPr>
          <w:p>
            <w:pPr>
              <w:adjustRightInd w:val="0"/>
              <w:snapToGrid w:val="0"/>
              <w:spacing w:line="240" w:lineRule="auto"/>
              <w:jc w:val="center"/>
              <w:rPr>
                <w:rFonts w:eastAsia="仿宋_GB2312"/>
                <w:color w:val="auto"/>
                <w:sz w:val="24"/>
              </w:rPr>
            </w:pPr>
            <w:r>
              <w:rPr>
                <w:rFonts w:eastAsia="仿宋_GB2312"/>
                <w:color w:val="auto"/>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967" w:type="pct"/>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价格表现形式</w:t>
            </w:r>
          </w:p>
        </w:tc>
        <w:tc>
          <w:tcPr>
            <w:tcW w:w="9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rPr>
            </w:pPr>
            <w:r>
              <w:rPr>
                <w:rFonts w:eastAsia="仿宋_GB2312"/>
                <w:color w:val="auto"/>
                <w:sz w:val="24"/>
              </w:rPr>
              <w:t>首层楼面地价、</w:t>
            </w:r>
            <w:r>
              <w:rPr>
                <w:rFonts w:hint="eastAsia" w:eastAsia="仿宋_GB2312"/>
                <w:color w:val="auto"/>
                <w:sz w:val="24"/>
              </w:rPr>
              <w:t>平均</w:t>
            </w:r>
            <w:r>
              <w:rPr>
                <w:rFonts w:eastAsia="仿宋_GB2312"/>
                <w:color w:val="auto"/>
                <w:sz w:val="24"/>
              </w:rPr>
              <w:t>楼面地价、</w:t>
            </w:r>
            <w:r>
              <w:rPr>
                <w:rFonts w:hint="eastAsia" w:eastAsia="仿宋_GB2312"/>
                <w:color w:val="auto"/>
                <w:sz w:val="24"/>
              </w:rPr>
              <w:t>地面地价</w:t>
            </w:r>
          </w:p>
        </w:tc>
        <w:tc>
          <w:tcPr>
            <w:tcW w:w="7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平均</w:t>
            </w:r>
            <w:r>
              <w:rPr>
                <w:rFonts w:eastAsia="仿宋_GB2312"/>
                <w:color w:val="auto"/>
                <w:sz w:val="24"/>
              </w:rPr>
              <w:t>楼面地价、</w:t>
            </w:r>
            <w:r>
              <w:rPr>
                <w:rFonts w:hint="eastAsia" w:eastAsia="仿宋_GB2312"/>
                <w:color w:val="auto"/>
                <w:sz w:val="24"/>
              </w:rPr>
              <w:t>地面地价</w:t>
            </w:r>
          </w:p>
        </w:tc>
        <w:tc>
          <w:tcPr>
            <w:tcW w:w="73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地面地价</w:t>
            </w:r>
          </w:p>
        </w:tc>
        <w:tc>
          <w:tcPr>
            <w:tcW w:w="86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平均</w:t>
            </w:r>
            <w:r>
              <w:rPr>
                <w:rFonts w:eastAsia="仿宋_GB2312"/>
                <w:color w:val="auto"/>
                <w:sz w:val="24"/>
              </w:rPr>
              <w:t>楼面地价、</w:t>
            </w:r>
            <w:r>
              <w:rPr>
                <w:rFonts w:hint="eastAsia" w:eastAsia="仿宋_GB2312"/>
                <w:color w:val="auto"/>
                <w:sz w:val="24"/>
              </w:rPr>
              <w:t>地面地价</w:t>
            </w:r>
          </w:p>
        </w:tc>
        <w:tc>
          <w:tcPr>
            <w:tcW w:w="68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地面地价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967" w:type="pct"/>
            <w:vMerge w:val="continue"/>
            <w:tcBorders>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p>
        </w:tc>
        <w:tc>
          <w:tcPr>
            <w:tcW w:w="9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商业路线价、级别价</w:t>
            </w:r>
          </w:p>
        </w:tc>
        <w:tc>
          <w:tcPr>
            <w:tcW w:w="77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级别价</w:t>
            </w:r>
          </w:p>
        </w:tc>
        <w:tc>
          <w:tcPr>
            <w:tcW w:w="73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级别价</w:t>
            </w:r>
          </w:p>
        </w:tc>
        <w:tc>
          <w:tcPr>
            <w:tcW w:w="86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级别价</w:t>
            </w:r>
          </w:p>
        </w:tc>
        <w:tc>
          <w:tcPr>
            <w:tcW w:w="68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级别价</w:t>
            </w:r>
          </w:p>
        </w:tc>
      </w:tr>
    </w:tbl>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注：①“五通一平”是指宗地红线外通路、通电、通上水、通下水、通讯，宗地红线内场地平整</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②商服用地包括：零售商业用地、批发市场用地、餐饮用地、旅馆用地、商务金融用地、娱乐用地、其它商服用地等</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③住宅用地为城镇住宅用地</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④工业用地包括：工业用地、采矿用地、盐田、仓储用地等</w:t>
      </w:r>
      <w:bookmarkStart w:id="30" w:name="_Hlk68020000"/>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⑤公共管理与公共服务用地包括：机关团体用地、新闻出版用地、教育用地、科研用地、医疗卫生用地、社会福利用地、文化设施用地、体育用地等。</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⑥</w:t>
      </w:r>
      <w:bookmarkEnd w:id="30"/>
      <w:r>
        <w:rPr>
          <w:rFonts w:hint="eastAsia" w:ascii="仿宋_GB2312" w:hAnsi="仿宋_GB2312" w:eastAsia="仿宋_GB2312" w:cs="仿宋_GB2312"/>
          <w:color w:val="auto"/>
          <w:sz w:val="24"/>
          <w:szCs w:val="24"/>
        </w:rPr>
        <w:t>公用设施用地包括：公园与绿地、城乡和区域基础设施的供水、排水、供电、供燃气、供热、通信、邮政、广播电视、环卫、消防、水工等公用设施用地。</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⑦商业路线价宗地标准宽度设定为5米，宗地标准深度设定为10米</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⑧地面地价=土地总地价/土地总面积，平均楼面地价=土地总地价/总建筑面积</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⑨待估价宗地所处地段存在路线价的商服用地，应优先采用商业路线价进行评估</w:t>
      </w:r>
      <w:r>
        <w:rPr>
          <w:rFonts w:hint="eastAsia" w:ascii="仿宋_GB2312" w:hAnsi="仿宋_GB2312" w:eastAsia="仿宋_GB2312" w:cs="仿宋_GB2312"/>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⑩采用基准地价系数修正法进行宗地评估时，商业路线价应选用首层楼面地价，商服用地、住宅用地、公共管理与公共服务用地应选用平均楼面地价，工业用地、公用设施用地应选用地面地价。</w:t>
      </w:r>
    </w:p>
    <w:bookmarkEnd w:id="25"/>
    <w:bookmarkEnd w:id="28"/>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eastAsia="黑体"/>
          <w:b w:val="0"/>
          <w:bCs w:val="0"/>
          <w:color w:val="auto"/>
          <w:kern w:val="0"/>
          <w:sz w:val="32"/>
          <w:szCs w:val="32"/>
        </w:rPr>
      </w:pPr>
      <w:r>
        <w:rPr>
          <w:rFonts w:hint="eastAsia" w:eastAsia="黑体"/>
          <w:b w:val="0"/>
          <w:bCs w:val="0"/>
          <w:color w:val="auto"/>
          <w:kern w:val="0"/>
          <w:sz w:val="32"/>
          <w:szCs w:val="32"/>
        </w:rPr>
        <w:t>三、</w:t>
      </w:r>
      <w:r>
        <w:rPr>
          <w:rFonts w:eastAsia="黑体"/>
          <w:b w:val="0"/>
          <w:bCs w:val="0"/>
          <w:color w:val="auto"/>
          <w:kern w:val="0"/>
          <w:sz w:val="32"/>
          <w:szCs w:val="32"/>
        </w:rPr>
        <w:t>基准地价成果</w:t>
      </w:r>
      <w:bookmarkEnd w:id="23"/>
      <w:bookmarkEnd w:id="2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31" w:name="_Toc488916268"/>
      <w:bookmarkStart w:id="32" w:name="_Toc491950907"/>
      <w:bookmarkStart w:id="33" w:name="_Toc165970771"/>
      <w:r>
        <w:rPr>
          <w:rFonts w:hint="eastAsia" w:ascii="楷体_GB2312" w:hAnsi="楷体_GB2312" w:eastAsia="楷体_GB2312" w:cs="楷体_GB2312"/>
          <w:b w:val="0"/>
          <w:bCs w:val="0"/>
          <w:color w:val="auto"/>
          <w:kern w:val="0"/>
          <w:sz w:val="32"/>
          <w:szCs w:val="32"/>
        </w:rPr>
        <w:t>（一）商业路线价</w:t>
      </w:r>
      <w:bookmarkEnd w:id="31"/>
      <w:bookmarkEnd w:id="32"/>
      <w:bookmarkEnd w:id="3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bookmarkStart w:id="34" w:name="_Toc165970772"/>
      <w:r>
        <w:rPr>
          <w:rFonts w:hint="eastAsia" w:ascii="仿宋_GB2312" w:hAnsi="仿宋_GB2312" w:eastAsia="仿宋_GB2312" w:cs="仿宋_GB2312"/>
          <w:b w:val="0"/>
          <w:bCs w:val="0"/>
          <w:color w:val="auto"/>
          <w:kern w:val="0"/>
          <w:sz w:val="32"/>
          <w:szCs w:val="32"/>
        </w:rPr>
        <w:t>待估价宗地所处地段存在路线价的商服用地，临街深度小于或等于30米的宗地，执行所在路段的商业路线价标准；临街深度大于30米的宗地，执行所在区域级别基准地价标准。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若待估宗地存在两面或多面临街且所临道路均存在路线价时，建议选取路线价最高的道路作为该待估宗地的路线价。</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b w:val="0"/>
          <w:bCs w:val="0"/>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b w:val="0"/>
          <w:bCs w:val="0"/>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b w:val="0"/>
          <w:bCs w:val="0"/>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b w:val="0"/>
          <w:bCs w:val="0"/>
          <w:color w:val="auto"/>
          <w:kern w:val="0"/>
          <w:sz w:val="32"/>
          <w:szCs w:val="32"/>
        </w:rPr>
      </w:pPr>
    </w:p>
    <w:p>
      <w:pPr>
        <w:adjustRightInd w:val="0"/>
        <w:snapToGrid w:val="0"/>
        <w:spacing w:line="312" w:lineRule="auto"/>
        <w:jc w:val="center"/>
        <w:rPr>
          <w:rFonts w:eastAsia="仿宋_GB2312"/>
          <w:b/>
          <w:color w:val="auto"/>
          <w:sz w:val="24"/>
        </w:rPr>
      </w:pPr>
      <w:r>
        <w:rPr>
          <w:rFonts w:hint="eastAsia" w:eastAsia="仿宋_GB2312"/>
          <w:b/>
          <w:color w:val="auto"/>
          <w:sz w:val="24"/>
        </w:rPr>
        <w:t>表3-1</w:t>
      </w:r>
      <w:r>
        <w:rPr>
          <w:rFonts w:eastAsia="仿宋_GB2312"/>
          <w:b/>
          <w:color w:val="auto"/>
          <w:sz w:val="24"/>
        </w:rPr>
        <w:t xml:space="preserve">-1 </w:t>
      </w:r>
      <w:bookmarkStart w:id="35" w:name="_Hlk125986795"/>
      <w:r>
        <w:rPr>
          <w:rFonts w:hint="eastAsia" w:eastAsia="仿宋_GB2312"/>
          <w:b/>
          <w:color w:val="auto"/>
          <w:sz w:val="24"/>
        </w:rPr>
        <w:t>新兴县2025年商业路线价表（首层楼面地价）</w:t>
      </w:r>
      <w:bookmarkEnd w:id="35"/>
    </w:p>
    <w:p>
      <w:pPr>
        <w:adjustRightInd w:val="0"/>
        <w:snapToGrid w:val="0"/>
        <w:spacing w:line="240" w:lineRule="auto"/>
        <w:jc w:val="right"/>
        <w:rPr>
          <w:rFonts w:hint="eastAsia" w:ascii="仿宋_GB2312" w:hAnsi="仿宋_GB2312" w:eastAsia="仿宋_GB2312" w:cs="仿宋_GB2312"/>
          <w:bCs/>
          <w:color w:val="auto"/>
          <w:kern w:val="0"/>
          <w:sz w:val="24"/>
          <w:szCs w:val="24"/>
        </w:rPr>
      </w:pPr>
      <w:r>
        <w:rPr>
          <w:rFonts w:hint="eastAsia" w:ascii="仿宋_GB2312" w:hAnsi="仿宋_GB2312" w:eastAsia="仿宋_GB2312" w:cs="仿宋_GB2312"/>
          <w:color w:val="auto"/>
          <w:sz w:val="24"/>
          <w:szCs w:val="24"/>
        </w:rPr>
        <w:t>单位：</w:t>
      </w:r>
      <w:r>
        <w:rPr>
          <w:rFonts w:hint="eastAsia" w:ascii="仿宋_GB2312" w:hAnsi="仿宋_GB2312" w:eastAsia="仿宋_GB2312" w:cs="仿宋_GB2312"/>
          <w:bCs/>
          <w:color w:val="auto"/>
          <w:kern w:val="0"/>
          <w:sz w:val="24"/>
          <w:szCs w:val="24"/>
        </w:rPr>
        <w:t>元/平方米</w:t>
      </w:r>
    </w:p>
    <w:tbl>
      <w:tblPr>
        <w:tblStyle w:val="88"/>
        <w:tblW w:w="4899" w:type="pct"/>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1760"/>
        <w:gridCol w:w="1929"/>
        <w:gridCol w:w="2066"/>
        <w:gridCol w:w="2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blHeader/>
        </w:trPr>
        <w:tc>
          <w:tcPr>
            <w:tcW w:w="514" w:type="pct"/>
            <w:vAlign w:val="center"/>
          </w:tcPr>
          <w:p>
            <w:pPr>
              <w:adjustRightInd w:val="0"/>
              <w:snapToGrid w:val="0"/>
              <w:spacing w:line="240" w:lineRule="atLeast"/>
              <w:jc w:val="center"/>
              <w:rPr>
                <w:rFonts w:hint="eastAsia" w:ascii="黑体" w:hAnsi="黑体" w:eastAsia="黑体" w:cs="黑体"/>
                <w:b w:val="0"/>
                <w:bCs w:val="0"/>
                <w:color w:val="auto"/>
                <w:kern w:val="0"/>
                <w:sz w:val="28"/>
                <w:szCs w:val="28"/>
              </w:rPr>
            </w:pPr>
            <w:r>
              <w:rPr>
                <w:rFonts w:hint="eastAsia" w:ascii="黑体" w:hAnsi="黑体" w:eastAsia="黑体" w:cs="黑体"/>
                <w:b w:val="0"/>
                <w:bCs w:val="0"/>
                <w:color w:val="auto"/>
                <w:kern w:val="0"/>
                <w:sz w:val="28"/>
                <w:szCs w:val="28"/>
              </w:rPr>
              <w:t xml:space="preserve">序号 </w:t>
            </w:r>
          </w:p>
        </w:tc>
        <w:tc>
          <w:tcPr>
            <w:tcW w:w="991" w:type="pct"/>
            <w:vAlign w:val="center"/>
          </w:tcPr>
          <w:p>
            <w:pPr>
              <w:adjustRightInd w:val="0"/>
              <w:snapToGrid w:val="0"/>
              <w:spacing w:line="240" w:lineRule="atLeast"/>
              <w:jc w:val="center"/>
              <w:rPr>
                <w:rFonts w:hint="eastAsia" w:ascii="黑体" w:hAnsi="黑体" w:eastAsia="黑体" w:cs="黑体"/>
                <w:b w:val="0"/>
                <w:bCs w:val="0"/>
                <w:color w:val="auto"/>
                <w:kern w:val="0"/>
                <w:sz w:val="28"/>
                <w:szCs w:val="28"/>
              </w:rPr>
            </w:pPr>
            <w:r>
              <w:rPr>
                <w:rFonts w:hint="eastAsia" w:ascii="黑体" w:hAnsi="黑体" w:eastAsia="黑体" w:cs="黑体"/>
                <w:b w:val="0"/>
                <w:bCs w:val="0"/>
                <w:color w:val="auto"/>
                <w:kern w:val="0"/>
                <w:sz w:val="28"/>
                <w:szCs w:val="28"/>
              </w:rPr>
              <w:t xml:space="preserve">路线段名称 </w:t>
            </w:r>
          </w:p>
        </w:tc>
        <w:tc>
          <w:tcPr>
            <w:tcW w:w="1086" w:type="pct"/>
            <w:vAlign w:val="center"/>
          </w:tcPr>
          <w:p>
            <w:pPr>
              <w:adjustRightInd w:val="0"/>
              <w:snapToGrid w:val="0"/>
              <w:spacing w:line="240" w:lineRule="atLeast"/>
              <w:jc w:val="center"/>
              <w:rPr>
                <w:rFonts w:hint="eastAsia" w:ascii="黑体" w:hAnsi="黑体" w:eastAsia="黑体" w:cs="黑体"/>
                <w:b w:val="0"/>
                <w:bCs w:val="0"/>
                <w:color w:val="auto"/>
                <w:kern w:val="0"/>
                <w:sz w:val="28"/>
                <w:szCs w:val="28"/>
              </w:rPr>
            </w:pPr>
            <w:r>
              <w:rPr>
                <w:rFonts w:hint="eastAsia" w:ascii="黑体" w:hAnsi="黑体" w:eastAsia="黑体" w:cs="黑体"/>
                <w:b w:val="0"/>
                <w:bCs w:val="0"/>
                <w:color w:val="auto"/>
                <w:kern w:val="0"/>
                <w:sz w:val="28"/>
                <w:szCs w:val="28"/>
              </w:rPr>
              <w:t xml:space="preserve">路线段起点 </w:t>
            </w:r>
          </w:p>
        </w:tc>
        <w:tc>
          <w:tcPr>
            <w:tcW w:w="1163" w:type="pct"/>
            <w:vAlign w:val="center"/>
          </w:tcPr>
          <w:p>
            <w:pPr>
              <w:adjustRightInd w:val="0"/>
              <w:snapToGrid w:val="0"/>
              <w:spacing w:line="240" w:lineRule="atLeast"/>
              <w:jc w:val="center"/>
              <w:rPr>
                <w:rFonts w:hint="eastAsia" w:ascii="黑体" w:hAnsi="黑体" w:eastAsia="黑体" w:cs="黑体"/>
                <w:b w:val="0"/>
                <w:bCs w:val="0"/>
                <w:color w:val="auto"/>
                <w:kern w:val="0"/>
                <w:sz w:val="28"/>
                <w:szCs w:val="28"/>
              </w:rPr>
            </w:pPr>
            <w:r>
              <w:rPr>
                <w:rFonts w:hint="eastAsia" w:ascii="黑体" w:hAnsi="黑体" w:eastAsia="黑体" w:cs="黑体"/>
                <w:b w:val="0"/>
                <w:bCs w:val="0"/>
                <w:color w:val="auto"/>
                <w:kern w:val="0"/>
                <w:sz w:val="28"/>
                <w:szCs w:val="28"/>
              </w:rPr>
              <w:t xml:space="preserve">路线段终点 </w:t>
            </w:r>
          </w:p>
        </w:tc>
        <w:tc>
          <w:tcPr>
            <w:tcW w:w="1244" w:type="pct"/>
            <w:vAlign w:val="center"/>
          </w:tcPr>
          <w:p>
            <w:pPr>
              <w:adjustRightInd w:val="0"/>
              <w:snapToGrid w:val="0"/>
              <w:spacing w:line="240" w:lineRule="atLeast"/>
              <w:jc w:val="center"/>
              <w:rPr>
                <w:rFonts w:hint="eastAsia" w:ascii="黑体" w:hAnsi="黑体" w:eastAsia="黑体" w:cs="黑体"/>
                <w:b w:val="0"/>
                <w:bCs w:val="0"/>
                <w:color w:val="auto"/>
                <w:kern w:val="0"/>
                <w:sz w:val="28"/>
                <w:szCs w:val="28"/>
              </w:rPr>
            </w:pPr>
            <w:r>
              <w:rPr>
                <w:rFonts w:hint="eastAsia" w:ascii="黑体" w:hAnsi="黑体" w:eastAsia="黑体" w:cs="黑体"/>
                <w:b w:val="0"/>
                <w:bCs w:val="0"/>
                <w:color w:val="auto"/>
                <w:kern w:val="0"/>
                <w:sz w:val="28"/>
                <w:szCs w:val="28"/>
              </w:rPr>
              <w:t xml:space="preserve">首层楼面地价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环城东路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市场路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8536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市场路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象岗路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8424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南街</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建设南路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6358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东街</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中山路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5838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升平路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新洲大道南</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5249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大园路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5246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市场路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环城中路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5218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中山路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中山公园</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5008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象岗路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果园路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4982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东升路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东堤南路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小南路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4961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解放路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东街</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裕华南路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文锦路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筠州路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4862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大南路①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建设南路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兴龙路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祥和路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4781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广兴大道西②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18</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文泉路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广兴大道西</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4725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19</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文锦路②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新洲大道北</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20</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文兴路①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新洲大道北</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文德路①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新洲大道北</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新洲大道南</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筠州路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文德路②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新洲大道北</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建设南路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果园路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东门大桥</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城西路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裕民路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东堤中路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广兴大道东</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共成河</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28</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康泰街①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文兴路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29</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东翔路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翔顺桥</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小南路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4602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30</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永兴街</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新洲大道南</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文兴路②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新州大道北</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环城西路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环城中路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康泰街②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文华路③</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升平路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文建路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东门庙桥</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文锦路①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新洲大道北</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广兴大道东</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东堤中路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凌丰紫荆广场</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4522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38</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筠州路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4483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39</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茅园路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4453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40</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西街</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环城西路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中山路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较场路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象岗路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翔兴路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翔顺二桥</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共成河</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教育路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体育路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实验小学</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沿江二路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建设南路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体育路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文华路①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新洲大道南</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北门路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4289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实验小学</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东山庙桥</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48</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升平路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实验小学</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49</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筠州路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50</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沿江北路③</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环城北路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51</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广兴大道西①</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城西路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育才南路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52</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体育路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大南路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翔顺桥</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53</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大南路②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兴龙路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多宝路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54</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惠中路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东堤北路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惠能北路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3845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55</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小南路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东山庙桥</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翔兴路</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3801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56</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慧能中路</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惠中路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广兴大道东</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3786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57</w:t>
            </w:r>
          </w:p>
        </w:tc>
        <w:tc>
          <w:tcPr>
            <w:tcW w:w="991"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沿江北路②</w:t>
            </w:r>
          </w:p>
        </w:tc>
        <w:tc>
          <w:tcPr>
            <w:tcW w:w="1086"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筠州路</w:t>
            </w:r>
          </w:p>
        </w:tc>
        <w:tc>
          <w:tcPr>
            <w:tcW w:w="1163"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都吉桥</w:t>
            </w:r>
          </w:p>
        </w:tc>
        <w:tc>
          <w:tcPr>
            <w:tcW w:w="1244" w:type="pct"/>
            <w:vAlign w:val="center"/>
          </w:tcPr>
          <w:p>
            <w:pPr>
              <w:adjustRightInd w:val="0"/>
              <w:snapToGrid w:val="0"/>
              <w:spacing w:line="240" w:lineRule="atLeast"/>
              <w:jc w:val="center"/>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sz w:val="24"/>
              </w:rPr>
              <w:t>3666</w:t>
            </w:r>
          </w:p>
        </w:tc>
      </w:tr>
    </w:tbl>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r>
        <w:rPr>
          <w:rFonts w:hint="eastAsia" w:ascii="楷体_GB2312" w:hAnsi="楷体_GB2312" w:eastAsia="楷体_GB2312" w:cs="楷体_GB2312"/>
          <w:b w:val="0"/>
          <w:bCs w:val="0"/>
          <w:color w:val="auto"/>
          <w:kern w:val="0"/>
          <w:sz w:val="32"/>
          <w:szCs w:val="32"/>
        </w:rPr>
        <w:t>（二）级别基准地价</w:t>
      </w:r>
      <w:bookmarkEnd w:id="34"/>
    </w:p>
    <w:p>
      <w:pPr>
        <w:adjustRightInd w:val="0"/>
        <w:snapToGrid w:val="0"/>
        <w:spacing w:line="240" w:lineRule="atLeast"/>
        <w:jc w:val="center"/>
        <w:rPr>
          <w:rFonts w:eastAsia="仿宋_GB2312"/>
          <w:b/>
          <w:color w:val="auto"/>
          <w:sz w:val="24"/>
        </w:rPr>
      </w:pPr>
      <w:bookmarkStart w:id="36" w:name="OLE_LINK27"/>
      <w:bookmarkStart w:id="37" w:name="_Hlk145598126"/>
      <w:r>
        <w:rPr>
          <w:rFonts w:hint="eastAsia" w:eastAsia="仿宋_GB2312"/>
          <w:b/>
          <w:color w:val="auto"/>
          <w:sz w:val="24"/>
        </w:rPr>
        <w:t>表3-2</w:t>
      </w:r>
      <w:r>
        <w:rPr>
          <w:rFonts w:eastAsia="仿宋_GB2312"/>
          <w:b/>
          <w:color w:val="auto"/>
          <w:sz w:val="24"/>
        </w:rPr>
        <w:t>-</w:t>
      </w:r>
      <w:r>
        <w:rPr>
          <w:rFonts w:hint="eastAsia" w:eastAsia="仿宋_GB2312"/>
          <w:b/>
          <w:color w:val="auto"/>
          <w:sz w:val="24"/>
        </w:rPr>
        <w:t>1</w:t>
      </w:r>
      <w:r>
        <w:rPr>
          <w:rFonts w:eastAsia="仿宋_GB2312"/>
          <w:b/>
          <w:color w:val="auto"/>
          <w:sz w:val="24"/>
        </w:rPr>
        <w:t xml:space="preserve"> </w:t>
      </w:r>
      <w:r>
        <w:rPr>
          <w:rFonts w:hint="eastAsia" w:eastAsia="仿宋_GB2312"/>
          <w:b/>
          <w:color w:val="auto"/>
          <w:sz w:val="24"/>
        </w:rPr>
        <w:t>新兴县2025年国有建设用地基准地价级别价结果表</w:t>
      </w:r>
    </w:p>
    <w:tbl>
      <w:tblPr>
        <w:tblStyle w:val="88"/>
        <w:tblpPr w:leftFromText="180" w:rightFromText="180" w:vertAnchor="text" w:horzAnchor="page" w:tblpXSpec="center" w:tblpY="377"/>
        <w:tblOverlap w:val="never"/>
        <w:tblW w:w="4876" w:type="pct"/>
        <w:jc w:val="center"/>
        <w:tblLayout w:type="fixed"/>
        <w:tblCellMar>
          <w:top w:w="0" w:type="dxa"/>
          <w:left w:w="108" w:type="dxa"/>
          <w:bottom w:w="0" w:type="dxa"/>
          <w:right w:w="108" w:type="dxa"/>
        </w:tblCellMar>
      </w:tblPr>
      <w:tblGrid>
        <w:gridCol w:w="903"/>
        <w:gridCol w:w="1632"/>
        <w:gridCol w:w="1164"/>
        <w:gridCol w:w="1060"/>
        <w:gridCol w:w="1592"/>
        <w:gridCol w:w="1106"/>
        <w:gridCol w:w="1381"/>
      </w:tblGrid>
      <w:tr>
        <w:tblPrEx>
          <w:tblCellMar>
            <w:top w:w="0" w:type="dxa"/>
            <w:left w:w="108" w:type="dxa"/>
            <w:bottom w:w="0" w:type="dxa"/>
            <w:right w:w="108" w:type="dxa"/>
          </w:tblCellMar>
        </w:tblPrEx>
        <w:trPr>
          <w:trHeight w:val="386" w:hRule="atLeast"/>
          <w:jc w:val="center"/>
        </w:trPr>
        <w:tc>
          <w:tcPr>
            <w:tcW w:w="510"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tLeast"/>
              <w:jc w:val="right"/>
              <w:rPr>
                <w:rFonts w:eastAsia="仿宋_GB2312"/>
                <w:b/>
                <w:bCs/>
                <w:color w:val="auto"/>
                <w:sz w:val="24"/>
              </w:rPr>
            </w:pPr>
            <w:bookmarkStart w:id="38" w:name="_Hlk179389271"/>
            <w:bookmarkStart w:id="39" w:name="OLE_LINK30"/>
            <w:r>
              <w:rPr>
                <w:rFonts w:eastAsia="仿宋_GB2312"/>
                <w:b/>
                <w:bCs/>
                <w:color w:val="auto"/>
                <w:sz w:val="24"/>
              </w:rPr>
              <w:t>用途</w:t>
            </w:r>
          </w:p>
          <w:p>
            <w:pPr>
              <w:adjustRightInd w:val="0"/>
              <w:snapToGrid w:val="0"/>
              <w:spacing w:line="240" w:lineRule="atLeast"/>
              <w:jc w:val="center"/>
              <w:rPr>
                <w:rFonts w:eastAsia="仿宋_GB2312"/>
                <w:b/>
                <w:bCs/>
                <w:color w:val="auto"/>
                <w:sz w:val="24"/>
              </w:rPr>
            </w:pPr>
          </w:p>
          <w:p>
            <w:pPr>
              <w:adjustRightInd w:val="0"/>
              <w:snapToGrid w:val="0"/>
              <w:spacing w:line="240" w:lineRule="atLeast"/>
              <w:jc w:val="center"/>
              <w:rPr>
                <w:rFonts w:eastAsia="仿宋_GB2312"/>
                <w:b/>
                <w:bCs/>
                <w:color w:val="auto"/>
                <w:sz w:val="24"/>
              </w:rPr>
            </w:pPr>
          </w:p>
          <w:p>
            <w:pPr>
              <w:adjustRightInd w:val="0"/>
              <w:snapToGrid w:val="0"/>
              <w:spacing w:line="240" w:lineRule="atLeast"/>
              <w:jc w:val="center"/>
              <w:rPr>
                <w:rFonts w:eastAsia="仿宋_GB2312"/>
                <w:b/>
                <w:bCs/>
                <w:color w:val="auto"/>
                <w:sz w:val="24"/>
              </w:rPr>
            </w:pPr>
          </w:p>
          <w:p>
            <w:pPr>
              <w:adjustRightInd w:val="0"/>
              <w:snapToGrid w:val="0"/>
              <w:spacing w:line="240" w:lineRule="atLeast"/>
              <w:jc w:val="left"/>
              <w:rPr>
                <w:rFonts w:eastAsia="仿宋_GB2312"/>
                <w:b/>
                <w:bCs/>
                <w:color w:val="auto"/>
                <w:sz w:val="24"/>
              </w:rPr>
            </w:pPr>
            <w:r>
              <w:rPr>
                <w:rFonts w:eastAsia="仿宋_GB2312"/>
                <w:b/>
                <w:bCs/>
                <w:color w:val="auto"/>
                <w:sz w:val="24"/>
              </w:rPr>
              <w:t>级别</w:t>
            </w:r>
          </w:p>
        </w:tc>
        <w:tc>
          <w:tcPr>
            <w:tcW w:w="2181" w:type="pct"/>
            <w:gridSpan w:val="3"/>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r>
              <w:rPr>
                <w:rFonts w:eastAsia="仿宋_GB2312"/>
                <w:b/>
                <w:bCs/>
                <w:color w:val="auto"/>
                <w:sz w:val="24"/>
              </w:rPr>
              <w:t>商服用地</w:t>
            </w:r>
          </w:p>
        </w:tc>
        <w:tc>
          <w:tcPr>
            <w:tcW w:w="2307" w:type="pct"/>
            <w:gridSpan w:val="3"/>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r>
              <w:rPr>
                <w:rFonts w:eastAsia="仿宋_GB2312"/>
                <w:b/>
                <w:bCs/>
                <w:color w:val="auto"/>
                <w:sz w:val="24"/>
              </w:rPr>
              <w:t>住宅用地</w:t>
            </w:r>
          </w:p>
        </w:tc>
      </w:tr>
      <w:tr>
        <w:tblPrEx>
          <w:tblCellMar>
            <w:top w:w="0" w:type="dxa"/>
            <w:left w:w="108" w:type="dxa"/>
            <w:bottom w:w="0" w:type="dxa"/>
            <w:right w:w="108" w:type="dxa"/>
          </w:tblCellMar>
        </w:tblPrEx>
        <w:trPr>
          <w:trHeight w:val="579" w:hRule="atLeast"/>
          <w:jc w:val="center"/>
        </w:trPr>
        <w:tc>
          <w:tcPr>
            <w:tcW w:w="510"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平均</w:t>
            </w:r>
            <w:r>
              <w:rPr>
                <w:rFonts w:eastAsia="仿宋_GB2312"/>
                <w:b/>
                <w:bCs/>
                <w:color w:val="auto"/>
                <w:sz w:val="24"/>
                <w:szCs w:val="20"/>
              </w:rPr>
              <w:t>楼面地价</w:t>
            </w:r>
          </w:p>
        </w:tc>
        <w:tc>
          <w:tcPr>
            <w:tcW w:w="1258"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地面</w:t>
            </w:r>
            <w:r>
              <w:rPr>
                <w:rFonts w:eastAsia="仿宋_GB2312"/>
                <w:b/>
                <w:bCs/>
                <w:color w:val="auto"/>
                <w:sz w:val="24"/>
                <w:szCs w:val="20"/>
              </w:rPr>
              <w:t>地价</w:t>
            </w:r>
          </w:p>
        </w:tc>
        <w:tc>
          <w:tcPr>
            <w:tcW w:w="90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平均</w:t>
            </w:r>
            <w:r>
              <w:rPr>
                <w:rFonts w:eastAsia="仿宋_GB2312"/>
                <w:b/>
                <w:bCs/>
                <w:color w:val="auto"/>
                <w:sz w:val="24"/>
                <w:szCs w:val="20"/>
              </w:rPr>
              <w:t>楼面地价</w:t>
            </w:r>
          </w:p>
        </w:tc>
        <w:tc>
          <w:tcPr>
            <w:tcW w:w="1406"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地面</w:t>
            </w:r>
            <w:r>
              <w:rPr>
                <w:rFonts w:eastAsia="仿宋_GB2312"/>
                <w:b/>
                <w:bCs/>
                <w:color w:val="auto"/>
                <w:sz w:val="24"/>
                <w:szCs w:val="20"/>
              </w:rPr>
              <w:t>地价</w:t>
            </w:r>
          </w:p>
        </w:tc>
      </w:tr>
      <w:tr>
        <w:tblPrEx>
          <w:tblCellMar>
            <w:top w:w="0" w:type="dxa"/>
            <w:left w:w="108" w:type="dxa"/>
            <w:bottom w:w="0" w:type="dxa"/>
            <w:right w:w="108" w:type="dxa"/>
          </w:tblCellMar>
        </w:tblPrEx>
        <w:trPr>
          <w:trHeight w:val="531" w:hRule="atLeast"/>
          <w:jc w:val="center"/>
        </w:trPr>
        <w:tc>
          <w:tcPr>
            <w:tcW w:w="510"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元/平方米</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元/平方米</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万元/亩</w:t>
            </w:r>
          </w:p>
        </w:tc>
        <w:tc>
          <w:tcPr>
            <w:tcW w:w="90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元/平方米</w:t>
            </w:r>
          </w:p>
        </w:tc>
        <w:tc>
          <w:tcPr>
            <w:tcW w:w="62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元/平方米</w:t>
            </w:r>
          </w:p>
        </w:tc>
        <w:tc>
          <w:tcPr>
            <w:tcW w:w="78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2"/>
                <w:szCs w:val="22"/>
              </w:rPr>
            </w:pPr>
            <w:r>
              <w:rPr>
                <w:rFonts w:eastAsia="仿宋_GB2312"/>
                <w:b/>
                <w:bCs/>
                <w:color w:val="auto"/>
                <w:sz w:val="22"/>
                <w:szCs w:val="22"/>
              </w:rPr>
              <w:t>万元/亩</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bookmarkStart w:id="40" w:name="_Hlk179464064"/>
            <w:r>
              <w:rPr>
                <w:rFonts w:hint="eastAsia" w:ascii="仿宋_GB2312" w:hAnsi="宋体" w:eastAsia="仿宋_GB2312" w:cs="仿宋_GB2312"/>
                <w:b/>
                <w:bCs/>
                <w:color w:val="auto"/>
                <w:kern w:val="0"/>
                <w:sz w:val="24"/>
                <w:lang w:bidi="ar"/>
              </w:rPr>
              <w:t>Ⅰ级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1650</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3300</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220.00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1260</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2520</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168.00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Ⅱ级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1383</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2766</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184.40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1059</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2118</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141.20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Ⅲ级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1128</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2256</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150.40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822</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1644</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109.60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Ⅳ级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900</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1800</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120.00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594</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1188</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79.20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Ⅴ级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630</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1260</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84.00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417</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834</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55.60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Ⅵ级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432</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864</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57.60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294</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588</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39.20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Ⅶ级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327</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654</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43.60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222</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444</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29.60</w:t>
            </w:r>
          </w:p>
        </w:tc>
      </w:tr>
      <w:tr>
        <w:tblPrEx>
          <w:tblCellMar>
            <w:top w:w="0" w:type="dxa"/>
            <w:left w:w="108" w:type="dxa"/>
            <w:bottom w:w="0" w:type="dxa"/>
            <w:right w:w="108" w:type="dxa"/>
          </w:tblCellMar>
        </w:tblPrEx>
        <w:trPr>
          <w:trHeight w:val="386"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Ⅷ级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240</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480</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32.00</w:t>
            </w:r>
          </w:p>
        </w:tc>
        <w:tc>
          <w:tcPr>
            <w:tcW w:w="900"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159</w:t>
            </w:r>
          </w:p>
        </w:tc>
        <w:tc>
          <w:tcPr>
            <w:tcW w:w="625"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318</w:t>
            </w:r>
          </w:p>
        </w:tc>
        <w:tc>
          <w:tcPr>
            <w:tcW w:w="781" w:type="pct"/>
            <w:tcBorders>
              <w:top w:val="single" w:color="auto" w:sz="4" w:space="0"/>
              <w:left w:val="nil"/>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color w:val="auto"/>
                <w:sz w:val="24"/>
              </w:rPr>
            </w:pPr>
            <w:r>
              <w:rPr>
                <w:color w:val="auto"/>
                <w:kern w:val="0"/>
                <w:sz w:val="24"/>
                <w:lang w:bidi="ar"/>
              </w:rPr>
              <w:t>21.20</w:t>
            </w:r>
          </w:p>
        </w:tc>
      </w:tr>
      <w:tr>
        <w:tblPrEx>
          <w:tblCellMar>
            <w:top w:w="0" w:type="dxa"/>
            <w:left w:w="108" w:type="dxa"/>
            <w:bottom w:w="0" w:type="dxa"/>
            <w:right w:w="108" w:type="dxa"/>
          </w:tblCellMar>
        </w:tblPrEx>
        <w:trPr>
          <w:trHeight w:val="405" w:hRule="atLeast"/>
          <w:jc w:val="center"/>
        </w:trPr>
        <w:tc>
          <w:tcPr>
            <w:tcW w:w="510"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Ⅸ级</w:t>
            </w:r>
          </w:p>
        </w:tc>
        <w:tc>
          <w:tcPr>
            <w:tcW w:w="923"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171</w:t>
            </w:r>
          </w:p>
        </w:tc>
        <w:tc>
          <w:tcPr>
            <w:tcW w:w="65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342</w:t>
            </w:r>
          </w:p>
        </w:tc>
        <w:tc>
          <w:tcPr>
            <w:tcW w:w="59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22.80</w:t>
            </w:r>
          </w:p>
        </w:tc>
        <w:tc>
          <w:tcPr>
            <w:tcW w:w="90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hint="eastAsia" w:eastAsia="仿宋_GB2312"/>
                <w:color w:val="auto"/>
                <w:sz w:val="24"/>
              </w:rPr>
              <w:t>/</w:t>
            </w:r>
          </w:p>
        </w:tc>
        <w:tc>
          <w:tcPr>
            <w:tcW w:w="62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hint="eastAsia" w:eastAsia="仿宋_GB2312"/>
                <w:color w:val="auto"/>
                <w:sz w:val="24"/>
              </w:rPr>
              <w:t>/</w:t>
            </w:r>
          </w:p>
        </w:tc>
        <w:tc>
          <w:tcPr>
            <w:tcW w:w="78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hint="eastAsia" w:eastAsia="仿宋_GB2312"/>
                <w:color w:val="auto"/>
                <w:sz w:val="24"/>
              </w:rPr>
              <w:t>/</w:t>
            </w:r>
          </w:p>
        </w:tc>
      </w:tr>
      <w:bookmarkEnd w:id="38"/>
      <w:bookmarkEnd w:id="40"/>
    </w:tbl>
    <w:p>
      <w:pPr>
        <w:adjustRightInd w:val="0"/>
        <w:snapToGrid w:val="0"/>
        <w:spacing w:line="240" w:lineRule="auto"/>
        <w:ind w:firstLine="200"/>
        <w:rPr>
          <w:rFonts w:hint="eastAsia" w:eastAsia="仿宋_GB2312"/>
          <w:color w:val="auto"/>
          <w:szCs w:val="21"/>
        </w:rPr>
      </w:pPr>
    </w:p>
    <w:p>
      <w:pPr>
        <w:adjustRightInd w:val="0"/>
        <w:snapToGrid w:val="0"/>
        <w:spacing w:line="240" w:lineRule="auto"/>
        <w:ind w:firstLine="200"/>
        <w:rPr>
          <w:rFonts w:hint="eastAsia" w:eastAsia="仿宋_GB2312"/>
          <w:color w:val="auto"/>
          <w:szCs w:val="21"/>
        </w:rPr>
      </w:pPr>
    </w:p>
    <w:tbl>
      <w:tblPr>
        <w:tblStyle w:val="88"/>
        <w:tblpPr w:leftFromText="180" w:rightFromText="180" w:vertAnchor="text" w:horzAnchor="page" w:tblpXSpec="center" w:tblpY="377"/>
        <w:tblOverlap w:val="never"/>
        <w:tblW w:w="4909" w:type="pct"/>
        <w:jc w:val="center"/>
        <w:tblLayout w:type="fixed"/>
        <w:tblCellMar>
          <w:top w:w="0" w:type="dxa"/>
          <w:left w:w="108" w:type="dxa"/>
          <w:bottom w:w="0" w:type="dxa"/>
          <w:right w:w="108" w:type="dxa"/>
        </w:tblCellMar>
      </w:tblPr>
      <w:tblGrid>
        <w:gridCol w:w="830"/>
        <w:gridCol w:w="1192"/>
        <w:gridCol w:w="1081"/>
        <w:gridCol w:w="1612"/>
        <w:gridCol w:w="1120"/>
        <w:gridCol w:w="980"/>
        <w:gridCol w:w="1071"/>
        <w:gridCol w:w="1011"/>
      </w:tblGrid>
      <w:tr>
        <w:tblPrEx>
          <w:tblCellMar>
            <w:top w:w="0" w:type="dxa"/>
            <w:left w:w="108" w:type="dxa"/>
            <w:bottom w:w="0" w:type="dxa"/>
            <w:right w:w="108" w:type="dxa"/>
          </w:tblCellMar>
        </w:tblPrEx>
        <w:trPr>
          <w:trHeight w:val="409" w:hRule="atLeast"/>
          <w:jc w:val="center"/>
        </w:trPr>
        <w:tc>
          <w:tcPr>
            <w:tcW w:w="466"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tLeast"/>
              <w:jc w:val="right"/>
              <w:rPr>
                <w:rFonts w:eastAsia="仿宋_GB2312"/>
                <w:b/>
                <w:bCs/>
                <w:color w:val="auto"/>
                <w:sz w:val="24"/>
              </w:rPr>
            </w:pPr>
            <w:r>
              <w:rPr>
                <w:rFonts w:eastAsia="仿宋_GB2312"/>
                <w:b/>
                <w:bCs/>
                <w:color w:val="auto"/>
                <w:sz w:val="24"/>
              </w:rPr>
              <w:t>用途</w:t>
            </w:r>
          </w:p>
          <w:p>
            <w:pPr>
              <w:adjustRightInd w:val="0"/>
              <w:snapToGrid w:val="0"/>
              <w:spacing w:line="240" w:lineRule="atLeast"/>
              <w:jc w:val="center"/>
              <w:rPr>
                <w:rFonts w:eastAsia="仿宋_GB2312"/>
                <w:b/>
                <w:bCs/>
                <w:color w:val="auto"/>
                <w:sz w:val="24"/>
              </w:rPr>
            </w:pPr>
          </w:p>
          <w:p>
            <w:pPr>
              <w:adjustRightInd w:val="0"/>
              <w:snapToGrid w:val="0"/>
              <w:spacing w:line="240" w:lineRule="atLeast"/>
              <w:jc w:val="center"/>
              <w:rPr>
                <w:rFonts w:eastAsia="仿宋_GB2312"/>
                <w:b/>
                <w:bCs/>
                <w:color w:val="auto"/>
                <w:sz w:val="24"/>
              </w:rPr>
            </w:pPr>
          </w:p>
          <w:p>
            <w:pPr>
              <w:adjustRightInd w:val="0"/>
              <w:snapToGrid w:val="0"/>
              <w:spacing w:line="240" w:lineRule="atLeast"/>
              <w:rPr>
                <w:rFonts w:eastAsia="仿宋_GB2312"/>
                <w:b/>
                <w:bCs/>
                <w:color w:val="auto"/>
                <w:sz w:val="24"/>
              </w:rPr>
            </w:pPr>
            <w:r>
              <w:rPr>
                <w:rFonts w:eastAsia="仿宋_GB2312"/>
                <w:b/>
                <w:bCs/>
                <w:color w:val="auto"/>
                <w:sz w:val="24"/>
              </w:rPr>
              <w:t>级别</w:t>
            </w:r>
          </w:p>
        </w:tc>
        <w:tc>
          <w:tcPr>
            <w:tcW w:w="1277"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r>
              <w:rPr>
                <w:rFonts w:hint="eastAsia" w:eastAsia="仿宋_GB2312"/>
                <w:b/>
                <w:bCs/>
                <w:color w:val="auto"/>
                <w:sz w:val="24"/>
              </w:rPr>
              <w:t>工业用地</w:t>
            </w:r>
          </w:p>
        </w:tc>
        <w:tc>
          <w:tcPr>
            <w:tcW w:w="2086" w:type="pct"/>
            <w:gridSpan w:val="3"/>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r>
              <w:rPr>
                <w:rFonts w:eastAsia="仿宋_GB2312"/>
                <w:b/>
                <w:bCs/>
                <w:color w:val="auto"/>
                <w:sz w:val="24"/>
              </w:rPr>
              <w:t>公共管理与公共服务用地</w:t>
            </w:r>
          </w:p>
        </w:tc>
        <w:tc>
          <w:tcPr>
            <w:tcW w:w="1170"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r>
              <w:rPr>
                <w:rFonts w:eastAsia="仿宋_GB2312"/>
                <w:b/>
                <w:bCs/>
                <w:color w:val="auto"/>
                <w:sz w:val="24"/>
              </w:rPr>
              <w:t>公用设施用地</w:t>
            </w:r>
          </w:p>
        </w:tc>
      </w:tr>
      <w:tr>
        <w:tblPrEx>
          <w:tblCellMar>
            <w:top w:w="0" w:type="dxa"/>
            <w:left w:w="108" w:type="dxa"/>
            <w:bottom w:w="0" w:type="dxa"/>
            <w:right w:w="108" w:type="dxa"/>
          </w:tblCellMar>
        </w:tblPrEx>
        <w:trPr>
          <w:trHeight w:val="409" w:hRule="atLeast"/>
          <w:jc w:val="center"/>
        </w:trPr>
        <w:tc>
          <w:tcPr>
            <w:tcW w:w="46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p>
        </w:tc>
        <w:tc>
          <w:tcPr>
            <w:tcW w:w="1277"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地面</w:t>
            </w:r>
            <w:r>
              <w:rPr>
                <w:rFonts w:eastAsia="仿宋_GB2312"/>
                <w:b/>
                <w:bCs/>
                <w:color w:val="auto"/>
                <w:sz w:val="24"/>
                <w:szCs w:val="20"/>
              </w:rPr>
              <w:t>地价</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both"/>
              <w:rPr>
                <w:rFonts w:eastAsia="仿宋_GB2312"/>
                <w:b/>
                <w:bCs/>
                <w:color w:val="auto"/>
                <w:sz w:val="24"/>
                <w:szCs w:val="20"/>
              </w:rPr>
            </w:pPr>
            <w:r>
              <w:rPr>
                <w:rFonts w:hint="eastAsia" w:eastAsia="仿宋_GB2312"/>
                <w:b/>
                <w:bCs/>
                <w:color w:val="auto"/>
                <w:spacing w:val="-11"/>
                <w:sz w:val="24"/>
                <w:szCs w:val="20"/>
              </w:rPr>
              <w:t>平均</w:t>
            </w:r>
            <w:r>
              <w:rPr>
                <w:rFonts w:eastAsia="仿宋_GB2312"/>
                <w:b/>
                <w:bCs/>
                <w:color w:val="auto"/>
                <w:spacing w:val="-11"/>
                <w:sz w:val="24"/>
                <w:szCs w:val="20"/>
              </w:rPr>
              <w:t>楼面地价</w:t>
            </w:r>
          </w:p>
        </w:tc>
        <w:tc>
          <w:tcPr>
            <w:tcW w:w="1180"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bookmarkStart w:id="41" w:name="OLE_LINK3"/>
            <w:r>
              <w:rPr>
                <w:rFonts w:hint="eastAsia" w:eastAsia="仿宋_GB2312"/>
                <w:b/>
                <w:bCs/>
                <w:color w:val="auto"/>
                <w:sz w:val="24"/>
                <w:szCs w:val="20"/>
              </w:rPr>
              <w:t>地面</w:t>
            </w:r>
            <w:r>
              <w:rPr>
                <w:rFonts w:eastAsia="仿宋_GB2312"/>
                <w:b/>
                <w:bCs/>
                <w:color w:val="auto"/>
                <w:sz w:val="24"/>
                <w:szCs w:val="20"/>
              </w:rPr>
              <w:t>地价</w:t>
            </w:r>
            <w:bookmarkEnd w:id="41"/>
          </w:p>
        </w:tc>
        <w:tc>
          <w:tcPr>
            <w:tcW w:w="1170"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szCs w:val="20"/>
              </w:rPr>
            </w:pPr>
            <w:r>
              <w:rPr>
                <w:rFonts w:hint="eastAsia" w:eastAsia="仿宋_GB2312"/>
                <w:b/>
                <w:bCs/>
                <w:color w:val="auto"/>
                <w:sz w:val="24"/>
                <w:szCs w:val="20"/>
              </w:rPr>
              <w:t>地面</w:t>
            </w:r>
            <w:r>
              <w:rPr>
                <w:rFonts w:eastAsia="仿宋_GB2312"/>
                <w:b/>
                <w:bCs/>
                <w:color w:val="auto"/>
                <w:sz w:val="24"/>
                <w:szCs w:val="20"/>
              </w:rPr>
              <w:t>地价</w:t>
            </w:r>
          </w:p>
        </w:tc>
      </w:tr>
      <w:tr>
        <w:tblPrEx>
          <w:tblCellMar>
            <w:top w:w="0" w:type="dxa"/>
            <w:left w:w="108" w:type="dxa"/>
            <w:bottom w:w="0" w:type="dxa"/>
            <w:right w:w="108" w:type="dxa"/>
          </w:tblCellMar>
        </w:tblPrEx>
        <w:trPr>
          <w:trHeight w:val="535" w:hRule="atLeast"/>
          <w:jc w:val="center"/>
        </w:trPr>
        <w:tc>
          <w:tcPr>
            <w:tcW w:w="46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z w:val="24"/>
              </w:rPr>
            </w:pP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元/平方米</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万元/亩</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元/平方米</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元/平方米</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万元/亩</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both"/>
              <w:rPr>
                <w:rFonts w:eastAsia="仿宋_GB2312"/>
                <w:b/>
                <w:bCs/>
                <w:color w:val="auto"/>
                <w:spacing w:val="-11"/>
                <w:sz w:val="22"/>
                <w:szCs w:val="22"/>
              </w:rPr>
            </w:pPr>
            <w:r>
              <w:rPr>
                <w:rFonts w:eastAsia="仿宋_GB2312"/>
                <w:b/>
                <w:bCs/>
                <w:color w:val="auto"/>
                <w:spacing w:val="-11"/>
                <w:sz w:val="22"/>
                <w:szCs w:val="22"/>
              </w:rPr>
              <w:t>元/平方米</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b/>
                <w:bCs/>
                <w:color w:val="auto"/>
                <w:spacing w:val="-11"/>
                <w:sz w:val="22"/>
                <w:szCs w:val="22"/>
              </w:rPr>
            </w:pPr>
            <w:r>
              <w:rPr>
                <w:rFonts w:eastAsia="仿宋_GB2312"/>
                <w:b/>
                <w:bCs/>
                <w:color w:val="auto"/>
                <w:spacing w:val="-11"/>
                <w:sz w:val="22"/>
                <w:szCs w:val="22"/>
              </w:rPr>
              <w:t>万元/亩</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Ⅰ级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900</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60.00</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510</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765</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51.00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720</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48.00</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Ⅱ级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690</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46.00</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402</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603</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40.20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603</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40.20</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Ⅲ级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492</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32.80</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330</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495</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33.00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411</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27.40</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Ⅳ级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315</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21.00</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244</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366</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24.40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297</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19.80</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Ⅴ级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252</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16.80</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190</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285</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19.00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234</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15.60</w:t>
            </w:r>
          </w:p>
        </w:tc>
      </w:tr>
      <w:tr>
        <w:tblPrEx>
          <w:tblCellMar>
            <w:top w:w="0" w:type="dxa"/>
            <w:left w:w="108" w:type="dxa"/>
            <w:bottom w:w="0" w:type="dxa"/>
            <w:right w:w="108" w:type="dxa"/>
          </w:tblCellMar>
        </w:tblPrEx>
        <w:trPr>
          <w:trHeight w:val="409"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Ⅵ级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219</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 xml:space="preserve">14.60 </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164</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246</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16.40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201</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13.40</w:t>
            </w:r>
          </w:p>
        </w:tc>
      </w:tr>
      <w:tr>
        <w:tblPrEx>
          <w:tblCellMar>
            <w:top w:w="0" w:type="dxa"/>
            <w:left w:w="108" w:type="dxa"/>
            <w:bottom w:w="0" w:type="dxa"/>
            <w:right w:w="108" w:type="dxa"/>
          </w:tblCellMar>
        </w:tblPrEx>
        <w:trPr>
          <w:trHeight w:val="472"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center"/>
              <w:textAlignment w:val="center"/>
              <w:rPr>
                <w:rFonts w:eastAsia="仿宋_GB2312"/>
                <w:b/>
                <w:bCs/>
                <w:color w:val="auto"/>
                <w:sz w:val="24"/>
              </w:rPr>
            </w:pPr>
            <w:r>
              <w:rPr>
                <w:rFonts w:hint="eastAsia" w:ascii="仿宋_GB2312" w:hAnsi="宋体" w:eastAsia="仿宋_GB2312" w:cs="仿宋_GB2312"/>
                <w:b/>
                <w:bCs/>
                <w:color w:val="auto"/>
                <w:kern w:val="0"/>
                <w:sz w:val="24"/>
                <w:lang w:bidi="ar"/>
              </w:rPr>
              <w:t>Ⅶ级</w:t>
            </w:r>
          </w:p>
        </w:tc>
        <w:tc>
          <w:tcPr>
            <w:tcW w:w="66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168</w:t>
            </w:r>
          </w:p>
        </w:tc>
        <w:tc>
          <w:tcPr>
            <w:tcW w:w="607"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 xml:space="preserve">11.20 </w:t>
            </w:r>
          </w:p>
        </w:tc>
        <w:tc>
          <w:tcPr>
            <w:tcW w:w="905"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140</w:t>
            </w:r>
          </w:p>
        </w:tc>
        <w:tc>
          <w:tcPr>
            <w:tcW w:w="629"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210</w:t>
            </w:r>
          </w:p>
        </w:tc>
        <w:tc>
          <w:tcPr>
            <w:tcW w:w="550"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14.00</w:t>
            </w:r>
          </w:p>
        </w:tc>
        <w:tc>
          <w:tcPr>
            <w:tcW w:w="601"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165</w:t>
            </w:r>
          </w:p>
        </w:tc>
        <w:tc>
          <w:tcPr>
            <w:tcW w:w="568" w:type="pct"/>
            <w:tcBorders>
              <w:top w:val="single" w:color="auto" w:sz="4" w:space="0"/>
              <w:left w:val="nil"/>
              <w:bottom w:val="single" w:color="auto" w:sz="4" w:space="0"/>
              <w:right w:val="single" w:color="auto" w:sz="4" w:space="0"/>
            </w:tcBorders>
            <w:vAlign w:val="center"/>
          </w:tcPr>
          <w:p>
            <w:pPr>
              <w:adjustRightInd w:val="0"/>
              <w:snapToGrid w:val="0"/>
              <w:spacing w:line="240" w:lineRule="atLeast"/>
              <w:jc w:val="center"/>
              <w:rPr>
                <w:rFonts w:eastAsia="仿宋_GB2312"/>
                <w:color w:val="auto"/>
                <w:sz w:val="24"/>
              </w:rPr>
            </w:pPr>
            <w:r>
              <w:rPr>
                <w:rFonts w:eastAsia="仿宋_GB2312"/>
                <w:color w:val="auto"/>
                <w:sz w:val="24"/>
              </w:rPr>
              <w:t>11.00</w:t>
            </w:r>
          </w:p>
        </w:tc>
      </w:tr>
    </w:tbl>
    <w:p>
      <w:pPr>
        <w:adjustRightInd w:val="0"/>
        <w:snapToGrid w:val="0"/>
        <w:spacing w:line="240" w:lineRule="auto"/>
        <w:ind w:firstLine="200"/>
        <w:rPr>
          <w:rFonts w:hint="eastAsia" w:eastAsia="仿宋_GB2312"/>
          <w:color w:val="auto"/>
          <w:szCs w:val="21"/>
        </w:rPr>
      </w:pPr>
    </w:p>
    <w:p>
      <w:pPr>
        <w:adjustRightInd w:val="0"/>
        <w:snapToGrid w:val="0"/>
        <w:spacing w:line="240" w:lineRule="auto"/>
        <w:ind w:firstLine="200"/>
        <w:rPr>
          <w:rFonts w:hint="eastAsia" w:eastAsia="仿宋_GB2312"/>
          <w:color w:val="auto"/>
          <w:szCs w:val="21"/>
          <w:lang w:eastAsia="zh-CN"/>
        </w:rPr>
      </w:pPr>
      <w:r>
        <w:rPr>
          <w:rFonts w:hint="eastAsia" w:eastAsia="仿宋_GB2312"/>
          <w:color w:val="auto"/>
          <w:szCs w:val="21"/>
        </w:rPr>
        <w:t>注：①商服用地、住宅用地设定容积率为2.0；公共管理与公共服务用地容积率设定为1.5；工业用地、公用设施用地设定容积率为1.0</w:t>
      </w:r>
      <w:r>
        <w:rPr>
          <w:rFonts w:hint="eastAsia" w:eastAsia="仿宋_GB2312"/>
          <w:color w:val="auto"/>
          <w:szCs w:val="21"/>
          <w:lang w:eastAsia="zh-CN"/>
        </w:rPr>
        <w:t>。</w:t>
      </w:r>
    </w:p>
    <w:p>
      <w:pPr>
        <w:adjustRightInd w:val="0"/>
        <w:snapToGrid w:val="0"/>
        <w:spacing w:line="240" w:lineRule="auto"/>
        <w:ind w:firstLine="200"/>
        <w:rPr>
          <w:rFonts w:hint="eastAsia" w:eastAsia="仿宋_GB2312"/>
          <w:color w:val="auto"/>
          <w:szCs w:val="21"/>
        </w:rPr>
        <w:sectPr>
          <w:headerReference r:id="rId5" w:type="default"/>
          <w:footerReference r:id="rId7" w:type="default"/>
          <w:headerReference r:id="rId6" w:type="even"/>
          <w:footerReference r:id="rId8" w:type="even"/>
          <w:pgSz w:w="11906" w:h="16838"/>
          <w:pgMar w:top="2098" w:right="1474" w:bottom="1984" w:left="1587" w:header="720" w:footer="1417" w:gutter="0"/>
          <w:pgNumType w:fmt="decimal"/>
          <w:cols w:space="0" w:num="1"/>
          <w:rtlGutter w:val="0"/>
          <w:docGrid w:type="lines" w:linePitch="312" w:charSpace="0"/>
        </w:sectPr>
      </w:pPr>
      <w:r>
        <w:rPr>
          <w:rFonts w:hint="eastAsia" w:eastAsia="仿宋_GB2312"/>
          <w:color w:val="auto"/>
          <w:szCs w:val="21"/>
        </w:rPr>
        <w:t>②采用基准地价系数修正法进行宗地评估时，商服用地、住宅用地、公共管理与公共服务用地应选用级别平均楼面地价，工业用地和公用设施用地应选用级别地面地价，下同。</w:t>
      </w:r>
      <w:bookmarkEnd w:id="36"/>
      <w:bookmarkEnd w:id="39"/>
    </w:p>
    <w:p>
      <w:pPr>
        <w:adjustRightInd w:val="0"/>
        <w:snapToGrid w:val="0"/>
        <w:spacing w:line="240" w:lineRule="auto"/>
        <w:ind w:firstLine="200"/>
        <w:rPr>
          <w:rFonts w:hint="eastAsia" w:eastAsia="仿宋_GB2312"/>
          <w:color w:val="auto"/>
          <w:szCs w:val="21"/>
        </w:rPr>
      </w:pPr>
    </w:p>
    <w:p>
      <w:pPr>
        <w:keepNext/>
        <w:adjustRightInd w:val="0"/>
        <w:snapToGrid w:val="0"/>
        <w:spacing w:line="312" w:lineRule="auto"/>
        <w:jc w:val="center"/>
        <w:rPr>
          <w:rFonts w:eastAsia="仿宋_GB2312"/>
          <w:color w:val="auto"/>
          <w:sz w:val="24"/>
        </w:rPr>
      </w:pPr>
      <w:r>
        <w:rPr>
          <w:rFonts w:hint="eastAsia" w:eastAsia="仿宋_GB2312"/>
          <w:b/>
          <w:color w:val="auto"/>
          <w:sz w:val="24"/>
        </w:rPr>
        <w:t xml:space="preserve">表3-2-2 </w:t>
      </w:r>
      <w:r>
        <w:rPr>
          <w:rFonts w:eastAsia="仿宋_GB2312"/>
          <w:b/>
          <w:color w:val="auto"/>
          <w:sz w:val="24"/>
        </w:rPr>
        <w:t xml:space="preserve"> </w:t>
      </w:r>
      <w:r>
        <w:rPr>
          <w:rFonts w:hint="eastAsia" w:eastAsia="仿宋_GB2312"/>
          <w:b/>
          <w:color w:val="auto"/>
          <w:sz w:val="24"/>
        </w:rPr>
        <w:t>新兴县</w:t>
      </w:r>
      <w:r>
        <w:rPr>
          <w:rFonts w:eastAsia="仿宋_GB2312"/>
          <w:b/>
          <w:color w:val="auto"/>
          <w:sz w:val="24"/>
        </w:rPr>
        <w:t>商服用地定级结果表</w:t>
      </w:r>
    </w:p>
    <w:p>
      <w:pPr>
        <w:keepNext/>
        <w:autoSpaceDE w:val="0"/>
        <w:autoSpaceDN w:val="0"/>
        <w:adjustRightInd w:val="0"/>
        <w:snapToGrid w:val="0"/>
        <w:ind w:firstLine="480" w:firstLineChars="200"/>
        <w:jc w:val="right"/>
        <w:rPr>
          <w:rFonts w:eastAsia="仿宋_GB2312"/>
          <w:color w:val="auto"/>
          <w:sz w:val="24"/>
        </w:rPr>
      </w:pPr>
      <w:r>
        <w:rPr>
          <w:rFonts w:eastAsia="仿宋_GB2312"/>
          <w:color w:val="auto"/>
          <w:sz w:val="24"/>
        </w:rPr>
        <w:t>单位：平方公里</w:t>
      </w:r>
    </w:p>
    <w:tbl>
      <w:tblPr>
        <w:tblStyle w:val="88"/>
        <w:tblW w:w="12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020"/>
        <w:gridCol w:w="8445"/>
        <w:gridCol w:w="1050"/>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jc w:val="center"/>
        </w:trPr>
        <w:tc>
          <w:tcPr>
            <w:tcW w:w="84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szCs w:val="24"/>
                <w:lang w:bidi="ar"/>
              </w:rPr>
            </w:pPr>
            <w:r>
              <w:rPr>
                <w:rFonts w:hint="eastAsia" w:ascii="黑体" w:hAnsi="黑体" w:eastAsia="黑体" w:cs="黑体"/>
                <w:b w:val="0"/>
                <w:bCs/>
                <w:color w:val="auto"/>
                <w:kern w:val="0"/>
                <w:sz w:val="24"/>
                <w:szCs w:val="24"/>
                <w:lang w:bidi="ar"/>
              </w:rPr>
              <w:t>用地类型</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szCs w:val="24"/>
                <w:lang w:bidi="ar"/>
              </w:rPr>
            </w:pPr>
            <w:r>
              <w:rPr>
                <w:rFonts w:hint="eastAsia" w:ascii="黑体" w:hAnsi="黑体" w:eastAsia="黑体" w:cs="黑体"/>
                <w:b w:val="0"/>
                <w:bCs/>
                <w:color w:val="auto"/>
                <w:kern w:val="0"/>
                <w:sz w:val="24"/>
                <w:szCs w:val="24"/>
                <w:lang w:bidi="ar"/>
              </w:rPr>
              <w:t>级别</w:t>
            </w:r>
          </w:p>
        </w:tc>
        <w:tc>
          <w:tcPr>
            <w:tcW w:w="84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szCs w:val="24"/>
                <w:lang w:bidi="ar"/>
              </w:rPr>
            </w:pPr>
            <w:r>
              <w:rPr>
                <w:rFonts w:hint="eastAsia" w:ascii="黑体" w:hAnsi="黑体" w:eastAsia="黑体" w:cs="黑体"/>
                <w:b w:val="0"/>
                <w:bCs/>
                <w:color w:val="auto"/>
                <w:kern w:val="0"/>
                <w:sz w:val="24"/>
                <w:szCs w:val="24"/>
                <w:lang w:bidi="ar"/>
              </w:rPr>
              <w:t>级别范围概要描述</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面积</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占总面积比例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41" w:type="dxa"/>
            <w:vMerge w:val="restart"/>
            <w:tcBorders>
              <w:top w:val="single" w:color="auto" w:sz="4" w:space="0"/>
              <w:left w:val="single" w:color="auto" w:sz="4" w:space="0"/>
              <w:right w:val="single" w:color="auto" w:sz="4" w:space="0"/>
            </w:tcBorders>
            <w:vAlign w:val="center"/>
          </w:tcPr>
          <w:p>
            <w:pPr>
              <w:widowControl/>
              <w:adjustRightInd w:val="0"/>
              <w:snapToGrid w:val="0"/>
              <w:spacing w:line="240" w:lineRule="auto"/>
              <w:jc w:val="center"/>
              <w:rPr>
                <w:rFonts w:eastAsia="仿宋_GB2312"/>
                <w:b/>
                <w:bCs w:val="0"/>
                <w:color w:val="auto"/>
                <w:kern w:val="0"/>
                <w:sz w:val="24"/>
              </w:rPr>
            </w:pPr>
            <w:r>
              <w:rPr>
                <w:rFonts w:eastAsia="仿宋_GB2312"/>
                <w:b/>
                <w:bCs w:val="0"/>
                <w:color w:val="auto"/>
                <w:kern w:val="0"/>
                <w:sz w:val="24"/>
                <w:lang w:bidi="ar"/>
              </w:rPr>
              <w:t>商服用地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Ⅰ级</w:t>
            </w:r>
          </w:p>
        </w:tc>
        <w:tc>
          <w:tcPr>
            <w:tcW w:w="84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kern w:val="0"/>
                <w:sz w:val="24"/>
              </w:rPr>
            </w:pPr>
            <w:r>
              <w:rPr>
                <w:rFonts w:hint="eastAsia" w:eastAsia="仿宋_GB2312"/>
                <w:b/>
                <w:bCs/>
                <w:color w:val="auto"/>
                <w:kern w:val="0"/>
                <w:sz w:val="24"/>
              </w:rPr>
              <w:t>城区</w:t>
            </w:r>
            <w:r>
              <w:rPr>
                <w:rFonts w:eastAsia="仿宋_GB2312"/>
                <w:b/>
                <w:bCs/>
                <w:color w:val="auto"/>
                <w:kern w:val="0"/>
                <w:sz w:val="24"/>
              </w:rPr>
              <w:t>：</w:t>
            </w:r>
            <w:r>
              <w:rPr>
                <w:rFonts w:eastAsia="仿宋_GB2312"/>
                <w:color w:val="auto"/>
                <w:kern w:val="0"/>
                <w:sz w:val="24"/>
              </w:rPr>
              <w:t>沿江北路-市场路-环城中路-环城西路-环城北路-州背路-广兴大道-升平路-文兴路-育才南路-筠州路</w:t>
            </w:r>
            <w:r>
              <w:rPr>
                <w:rFonts w:hint="eastAsia" w:eastAsia="仿宋_GB2312"/>
                <w:color w:val="auto"/>
                <w:kern w:val="0"/>
                <w:sz w:val="24"/>
              </w:rPr>
              <w:t>；</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1.91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1"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bCs w:val="0"/>
                <w:color w:val="auto"/>
                <w:sz w:val="24"/>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Ⅱ级</w:t>
            </w:r>
          </w:p>
        </w:tc>
        <w:tc>
          <w:tcPr>
            <w:tcW w:w="84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kern w:val="0"/>
                <w:sz w:val="24"/>
              </w:rPr>
            </w:pPr>
            <w:r>
              <w:rPr>
                <w:rFonts w:hint="eastAsia" w:eastAsia="仿宋_GB2312"/>
                <w:b/>
                <w:bCs/>
                <w:color w:val="auto"/>
                <w:kern w:val="0"/>
                <w:sz w:val="24"/>
              </w:rPr>
              <w:t>城区</w:t>
            </w:r>
            <w:r>
              <w:rPr>
                <w:rFonts w:eastAsia="仿宋_GB2312"/>
                <w:b/>
                <w:bCs/>
                <w:color w:val="auto"/>
                <w:kern w:val="0"/>
                <w:sz w:val="24"/>
              </w:rPr>
              <w:t>：</w:t>
            </w:r>
            <w:r>
              <w:rPr>
                <w:rFonts w:hint="eastAsia" w:eastAsia="仿宋_GB2312"/>
                <w:color w:val="auto"/>
                <w:kern w:val="0"/>
                <w:sz w:val="24"/>
              </w:rPr>
              <w:t>规划路-惠能北路-城东路-东堤中路-小南路-翔兴路-翔顺二桥-兴龙路-金台古寺东北侧道路-狮岗路-规划路-象岗路-新兴县环城中学东侧道路-城西路-文建路-筠州路-新城市广场西侧路-荔园路；</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6.61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1" w:hRule="atLeast"/>
          <w:jc w:val="center"/>
        </w:trPr>
        <w:tc>
          <w:tcPr>
            <w:tcW w:w="841"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bCs w:val="0"/>
                <w:color w:val="auto"/>
                <w:sz w:val="24"/>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Ⅲ级</w:t>
            </w:r>
          </w:p>
        </w:tc>
        <w:tc>
          <w:tcPr>
            <w:tcW w:w="84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kern w:val="0"/>
                <w:sz w:val="24"/>
              </w:rPr>
            </w:pPr>
            <w:r>
              <w:rPr>
                <w:rFonts w:hint="eastAsia" w:eastAsia="仿宋_GB2312"/>
                <w:b/>
                <w:bCs/>
                <w:color w:val="auto"/>
                <w:kern w:val="0"/>
                <w:sz w:val="24"/>
              </w:rPr>
              <w:t>城区</w:t>
            </w:r>
            <w:r>
              <w:rPr>
                <w:rFonts w:eastAsia="仿宋_GB2312"/>
                <w:b/>
                <w:bCs/>
                <w:color w:val="auto"/>
                <w:kern w:val="0"/>
                <w:sz w:val="24"/>
              </w:rPr>
              <w:t>：</w:t>
            </w:r>
            <w:r>
              <w:rPr>
                <w:rFonts w:eastAsia="仿宋_GB2312"/>
                <w:color w:val="auto"/>
                <w:kern w:val="0"/>
                <w:sz w:val="24"/>
              </w:rPr>
              <w:t>二环东路-G359南侧山体-城东路-规划路-共成河-小南路-新兴县</w:t>
            </w:r>
            <w:r>
              <w:rPr>
                <w:rFonts w:hint="eastAsia" w:eastAsia="仿宋_GB2312"/>
                <w:color w:val="auto"/>
                <w:kern w:val="0"/>
                <w:sz w:val="24"/>
              </w:rPr>
              <w:t>城区</w:t>
            </w:r>
            <w:r>
              <w:rPr>
                <w:rFonts w:eastAsia="仿宋_GB2312"/>
                <w:color w:val="auto"/>
                <w:kern w:val="0"/>
                <w:sz w:val="24"/>
              </w:rPr>
              <w:t>凤凰小学-规划路-翔顺集团综合园区东南侧道路-规划路-二环路西段-六祖大道-多宝路-万事泰不锈钢制品有限公司西侧道路-规划路-兴龙路-平南路-兴业路-规划路-广兴大道西-二环路西段</w:t>
            </w:r>
            <w:r>
              <w:rPr>
                <w:rFonts w:hint="eastAsia" w:eastAsia="仿宋_GB2312"/>
                <w:color w:val="auto"/>
                <w:kern w:val="0"/>
                <w:sz w:val="24"/>
              </w:rPr>
              <w:t>-筠城传奇西侧道路-新兴江-二环北路-规划路-筠城翰林公馆北侧道路；</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12.68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841"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bCs w:val="0"/>
                <w:color w:val="auto"/>
                <w:sz w:val="24"/>
              </w:rPr>
            </w:pPr>
          </w:p>
        </w:tc>
        <w:tc>
          <w:tcPr>
            <w:tcW w:w="10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Ⅳ级</w:t>
            </w:r>
          </w:p>
        </w:tc>
        <w:tc>
          <w:tcPr>
            <w:tcW w:w="84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sz w:val="24"/>
              </w:rPr>
            </w:pPr>
            <w:r>
              <w:rPr>
                <w:rFonts w:hint="eastAsia" w:eastAsia="仿宋_GB2312"/>
                <w:b/>
                <w:bCs/>
                <w:color w:val="auto"/>
                <w:sz w:val="24"/>
              </w:rPr>
              <w:t>城区：</w:t>
            </w:r>
            <w:r>
              <w:rPr>
                <w:rFonts w:eastAsia="仿宋_GB2312"/>
                <w:color w:val="auto"/>
                <w:sz w:val="24"/>
              </w:rPr>
              <w:t>二环北路-规划路-广兴大道东-二环东路-规划路-禅域小镇国樾府西侧路-六祖大道-二环路西段-金台山智慧公园南侧路-祥利集团有限公司西侧路-广东新合铝业新兴有限公司西侧路-广东筠宏混凝土有限公司西侧路-新兴县厚德五金塑料制品有限公司西侧路-广东建兴混凝土有限公司西侧路-S113-新兴江</w:t>
            </w:r>
            <w:r>
              <w:rPr>
                <w:rFonts w:hint="eastAsia" w:eastAsia="仿宋_GB2312"/>
                <w:color w:val="auto"/>
                <w:sz w:val="24"/>
              </w:rPr>
              <w:t>；</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29.71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1" w:type="dxa"/>
            <w:vMerge w:val="continue"/>
            <w:tcBorders>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val="0"/>
                <w:color w:val="auto"/>
                <w:sz w:val="24"/>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Ⅴ级</w:t>
            </w:r>
          </w:p>
        </w:tc>
        <w:tc>
          <w:tcPr>
            <w:tcW w:w="84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sz w:val="24"/>
              </w:rPr>
            </w:pPr>
            <w:r>
              <w:rPr>
                <w:rFonts w:hint="eastAsia" w:eastAsia="仿宋_GB2312"/>
                <w:b/>
                <w:bCs/>
                <w:color w:val="auto"/>
                <w:sz w:val="24"/>
              </w:rPr>
              <w:t>城区：</w:t>
            </w:r>
            <w:r>
              <w:rPr>
                <w:rFonts w:eastAsia="仿宋_GB2312"/>
                <w:color w:val="auto"/>
                <w:sz w:val="24"/>
              </w:rPr>
              <w:t>①</w:t>
            </w:r>
            <w:r>
              <w:rPr>
                <w:rFonts w:hint="eastAsia" w:eastAsia="仿宋_GB2312"/>
                <w:color w:val="auto"/>
                <w:sz w:val="24"/>
              </w:rPr>
              <w:t>新兴新材料产业园南侧-城市规划范围线-东成大道-信息路-规划路-二环东路-规划路-城市规划范围线-深岑高速；②东成大道-小天才幼儿园西侧路-广东新兴凤铝铝业有限公司南侧路-东成鸿泰山庄西侧路；</w:t>
            </w:r>
          </w:p>
          <w:p>
            <w:pPr>
              <w:adjustRightInd w:val="0"/>
              <w:snapToGrid w:val="0"/>
              <w:spacing w:line="240" w:lineRule="auto"/>
              <w:rPr>
                <w:rFonts w:eastAsia="仿宋_GB2312"/>
                <w:color w:val="auto"/>
                <w:sz w:val="24"/>
              </w:rPr>
            </w:pPr>
            <w:r>
              <w:rPr>
                <w:rFonts w:hint="eastAsia" w:eastAsia="仿宋_GB2312"/>
                <w:b/>
                <w:bCs/>
                <w:color w:val="auto"/>
                <w:sz w:val="24"/>
              </w:rPr>
              <w:t>东成镇：</w:t>
            </w:r>
            <w:r>
              <w:rPr>
                <w:rFonts w:hint="eastAsia" w:eastAsia="仿宋_GB2312"/>
                <w:color w:val="auto"/>
                <w:sz w:val="24"/>
              </w:rPr>
              <w:t>新兴县东成镇威士龙皮具加工厂南侧路-新兴县东成财政所南侧路-东兴皮具配料商行东侧路；</w:t>
            </w:r>
          </w:p>
          <w:p>
            <w:pPr>
              <w:adjustRightInd w:val="0"/>
              <w:snapToGrid w:val="0"/>
              <w:spacing w:line="240" w:lineRule="auto"/>
              <w:rPr>
                <w:rFonts w:eastAsia="仿宋_GB2312"/>
                <w:color w:val="auto"/>
                <w:sz w:val="24"/>
              </w:rPr>
            </w:pPr>
            <w:r>
              <w:rPr>
                <w:rFonts w:eastAsia="仿宋_GB2312"/>
                <w:b/>
                <w:bCs/>
                <w:color w:val="auto"/>
                <w:sz w:val="24"/>
              </w:rPr>
              <w:t>六祖镇：</w:t>
            </w:r>
            <w:r>
              <w:rPr>
                <w:rFonts w:hint="eastAsia" w:eastAsia="仿宋_GB2312"/>
                <w:color w:val="auto"/>
                <w:sz w:val="24"/>
              </w:rPr>
              <w:t>集成北路-六祖镇人民政府北侧路-佛光路-集新路；</w:t>
            </w:r>
          </w:p>
          <w:p>
            <w:pPr>
              <w:adjustRightInd w:val="0"/>
              <w:snapToGrid w:val="0"/>
              <w:spacing w:line="240" w:lineRule="auto"/>
              <w:rPr>
                <w:rFonts w:eastAsia="仿宋_GB2312"/>
                <w:color w:val="auto"/>
                <w:sz w:val="24"/>
              </w:rPr>
            </w:pPr>
            <w:r>
              <w:rPr>
                <w:rFonts w:hint="eastAsia" w:eastAsia="仿宋_GB2312"/>
                <w:b/>
                <w:bCs/>
                <w:color w:val="auto"/>
                <w:sz w:val="24"/>
              </w:rPr>
              <w:t>太平镇：</w:t>
            </w:r>
            <w:r>
              <w:rPr>
                <w:rFonts w:eastAsia="仿宋_GB2312"/>
                <w:color w:val="auto"/>
                <w:sz w:val="24"/>
              </w:rPr>
              <w:t>华兴隆皮具厂北侧路-X483</w:t>
            </w:r>
            <w:r>
              <w:rPr>
                <w:rFonts w:hint="eastAsia" w:eastAsia="仿宋_GB2312"/>
                <w:color w:val="auto"/>
                <w:sz w:val="24"/>
              </w:rPr>
              <w:t>；</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44.96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val="0"/>
                <w:color w:val="auto"/>
                <w:kern w:val="0"/>
                <w:sz w:val="24"/>
                <w:lang w:bidi="ar"/>
              </w:rPr>
            </w:pPr>
            <w:r>
              <w:rPr>
                <w:rFonts w:eastAsia="仿宋_GB2312"/>
                <w:b/>
                <w:bCs w:val="0"/>
                <w:color w:val="auto"/>
                <w:kern w:val="0"/>
                <w:sz w:val="24"/>
                <w:lang w:bidi="ar"/>
              </w:rPr>
              <w:t>商服</w:t>
            </w:r>
          </w:p>
          <w:p>
            <w:pPr>
              <w:adjustRightInd w:val="0"/>
              <w:snapToGrid w:val="0"/>
              <w:spacing w:line="240" w:lineRule="auto"/>
              <w:jc w:val="center"/>
              <w:rPr>
                <w:rFonts w:eastAsia="仿宋_GB2312"/>
                <w:b/>
                <w:bCs w:val="0"/>
                <w:color w:val="auto"/>
                <w:sz w:val="24"/>
              </w:rPr>
            </w:pPr>
            <w:r>
              <w:rPr>
                <w:rFonts w:eastAsia="仿宋_GB2312"/>
                <w:b/>
                <w:bCs w:val="0"/>
                <w:color w:val="auto"/>
                <w:kern w:val="0"/>
                <w:sz w:val="24"/>
                <w:lang w:bidi="ar"/>
              </w:rPr>
              <w:t>用地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Ⅵ级</w:t>
            </w:r>
          </w:p>
        </w:tc>
        <w:tc>
          <w:tcPr>
            <w:tcW w:w="84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①城市规划范围线-S276-深岑高速；②深岑高速-思本村东侧路-城市规划范围线；③东成大道-城市规划范围线-好留香餐馆(东成店)东侧路-东成大道-城市规划范围线-规划路-二环东路-规划路-信息路；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水台镇：</w:t>
            </w:r>
            <w:r>
              <w:rPr>
                <w:rFonts w:hint="eastAsia" w:ascii="仿宋_GB2312" w:hAnsi="仿宋_GB2312" w:eastAsia="仿宋_GB2312" w:cs="仿宋_GB2312"/>
                <w:color w:val="auto"/>
                <w:sz w:val="24"/>
              </w:rPr>
              <w:t>水台街-水台镇人民政府东侧路-双和公路-金台街；</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稔村镇：</w:t>
            </w:r>
            <w:r>
              <w:rPr>
                <w:rFonts w:hint="eastAsia" w:ascii="仿宋_GB2312" w:hAnsi="仿宋_GB2312" w:eastAsia="仿宋_GB2312" w:cs="仿宋_GB2312"/>
                <w:color w:val="auto"/>
                <w:sz w:val="24"/>
              </w:rPr>
              <w:t>新街-旧街-文兴路-育才路；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东成镇中心小学东侧路-东成公园南侧路-伟斯利皮具厂南侧路-好邻居超级商场(东成店)南侧路-新兴县东成镇童星幼儿园南侧路-X485-东成大道-规划路-廻龙河-古院街；</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太平镇</w:t>
            </w:r>
            <w:r>
              <w:rPr>
                <w:rFonts w:hint="eastAsia" w:ascii="仿宋_GB2312" w:hAnsi="仿宋_GB2312" w:eastAsia="仿宋_GB2312" w:cs="仿宋_GB2312"/>
                <w:color w:val="auto"/>
                <w:kern w:val="0"/>
                <w:sz w:val="24"/>
              </w:rPr>
              <w:t>：①太平派出所北侧路-太平镇三根榕小学北侧路-X483；②好邻居超市(太平店)东侧路-新祀村-太平镇人民政府北侧路-富伟五金制品有限公司南侧路-新和裕五金制品有限公司东侧路-万利通液化气新兴分公司西侧路-新兴县荣安温氏家禽有限公司南侧路；③共成圩西侧路-X483；</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六祖镇</w:t>
            </w:r>
            <w:r>
              <w:rPr>
                <w:rFonts w:hint="eastAsia" w:ascii="仿宋_GB2312" w:hAnsi="仿宋_GB2312" w:eastAsia="仿宋_GB2312" w:cs="仿宋_GB2312"/>
                <w:color w:val="auto"/>
                <w:kern w:val="0"/>
                <w:sz w:val="24"/>
              </w:rPr>
              <w:t>：①塔脚村委会南侧路-六祖经塔东侧路-国恩寺东侧路-新兴悦和莊酒店南侧路-集成河；②六祖大道-上洞-六祖惠能故居南侧路-佛光路-集成南路-集成北路-集新路-梯山东侧路-养古岗东侧路-新兴县人民法院旅游巡回法庭东侧路-六祖镇新时代文明实践所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：旧街-四组村东侧路-簕竹中心小学西侧路-簕竹教师村北侧路；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：兴隆路-车岗镇人民政府东侧路-兴民路-S276；</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：解放北路-解放中路-解放南路-建设中路；</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40.46</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05"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val="0"/>
                <w:color w:val="auto"/>
                <w:kern w:val="0"/>
                <w:sz w:val="24"/>
                <w:lang w:bidi="ar"/>
              </w:rPr>
            </w:pPr>
            <w:r>
              <w:rPr>
                <w:rFonts w:eastAsia="仿宋_GB2312"/>
                <w:b/>
                <w:bCs w:val="0"/>
                <w:color w:val="auto"/>
                <w:kern w:val="0"/>
                <w:sz w:val="24"/>
                <w:lang w:bidi="ar"/>
              </w:rPr>
              <w:t>商服</w:t>
            </w:r>
          </w:p>
          <w:p>
            <w:pPr>
              <w:adjustRightInd w:val="0"/>
              <w:snapToGrid w:val="0"/>
              <w:spacing w:line="240" w:lineRule="auto"/>
              <w:jc w:val="center"/>
              <w:rPr>
                <w:rFonts w:eastAsia="仿宋_GB2312"/>
                <w:b/>
                <w:bCs w:val="0"/>
                <w:color w:val="auto"/>
                <w:sz w:val="24"/>
              </w:rPr>
            </w:pPr>
            <w:r>
              <w:rPr>
                <w:rFonts w:eastAsia="仿宋_GB2312"/>
                <w:b/>
                <w:bCs w:val="0"/>
                <w:color w:val="auto"/>
                <w:kern w:val="0"/>
                <w:sz w:val="24"/>
                <w:lang w:bidi="ar"/>
              </w:rPr>
              <w:t>用地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Ⅶ级</w:t>
            </w:r>
          </w:p>
        </w:tc>
        <w:tc>
          <w:tcPr>
            <w:tcW w:w="84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城区、东成镇、太平镇、六祖镇</w:t>
            </w:r>
            <w:r>
              <w:rPr>
                <w:rFonts w:hint="eastAsia" w:ascii="仿宋_GB2312" w:hAnsi="仿宋_GB2312" w:eastAsia="仿宋_GB2312" w:cs="仿宋_GB2312"/>
                <w:color w:val="auto"/>
                <w:kern w:val="0"/>
                <w:sz w:val="24"/>
              </w:rPr>
              <w:t>：除上述级别范围外，所有剩余地块；</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S113-中化石油加油站(新兴狮子岗站)北侧路-大成木业南侧路-簕竹卫生院东侧路-旧街-中国教育工会簕竹镇基层委员会南侧路-新兴县簕竹中学东侧路-广东温氏佳润食品有限公司东侧路-谷仓坝西侧路-S113西北侧农田；</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：建安路-S113-中间村民委员会西侧路-大冲口西侧路-蕉根南侧路-新兴碧桂园天御北侧路；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S276-中国石化东侧路-车岗镇文化广场东侧路-车岗镇中心小学东侧路-府前路-兴隆路-S276-兴民路-车岗中学东侧路-相塘村委会南侧路；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水台镇：</w:t>
            </w:r>
            <w:r>
              <w:rPr>
                <w:rFonts w:hint="eastAsia" w:ascii="仿宋_GB2312" w:hAnsi="仿宋_GB2312" w:eastAsia="仿宋_GB2312" w:cs="仿宋_GB2312"/>
                <w:color w:val="auto"/>
                <w:kern w:val="0"/>
                <w:sz w:val="24"/>
              </w:rPr>
              <w:t>①良田工业园；②双和公路-深岑高速-汇远陶瓷展厅(成品仓)南侧路-广东吉源铝业有限公司南侧路-俊建混凝土西侧路；③悦天下生态度假区；④广东翔顺金水台温泉小镇；</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稔村镇：</w:t>
            </w:r>
            <w:r>
              <w:rPr>
                <w:rFonts w:hint="eastAsia" w:ascii="仿宋_GB2312" w:hAnsi="仿宋_GB2312" w:eastAsia="仿宋_GB2312" w:cs="仿宋_GB2312"/>
                <w:color w:val="auto"/>
                <w:kern w:val="0"/>
                <w:sz w:val="24"/>
              </w:rPr>
              <w:t>①S274-新街-新兴县稔村中学北侧路-稔村镇中心小学北侧-姚性坊南侧-文兴路-新街-稔村镇综治中心北侧路；②合和大道-新兴县金玛利陶瓷有限公司东侧路-新兴建兴陶瓷有限公司东侧路-溶洲二厂西侧路；③S274-双阳村南侧路-新兴宏基陶瓷有限公司西侧路；</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464.49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41" w:type="dxa"/>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eastAsia="仿宋_GB2312"/>
                <w:b/>
                <w:bCs w:val="0"/>
                <w:color w:val="auto"/>
                <w:kern w:val="0"/>
                <w:sz w:val="24"/>
                <w:lang w:bidi="ar"/>
              </w:rPr>
            </w:pPr>
            <w:r>
              <w:rPr>
                <w:rFonts w:eastAsia="仿宋_GB2312"/>
                <w:b/>
                <w:bCs w:val="0"/>
                <w:color w:val="auto"/>
                <w:kern w:val="0"/>
                <w:sz w:val="24"/>
                <w:lang w:bidi="ar"/>
              </w:rPr>
              <w:t>商服</w:t>
            </w:r>
          </w:p>
          <w:p>
            <w:pPr>
              <w:adjustRightInd w:val="0"/>
              <w:snapToGrid w:val="0"/>
              <w:spacing w:line="240" w:lineRule="auto"/>
              <w:jc w:val="center"/>
              <w:rPr>
                <w:rFonts w:eastAsia="仿宋_GB2312"/>
                <w:b/>
                <w:bCs w:val="0"/>
                <w:color w:val="auto"/>
                <w:sz w:val="24"/>
              </w:rPr>
            </w:pPr>
            <w:r>
              <w:rPr>
                <w:rFonts w:eastAsia="仿宋_GB2312"/>
                <w:b/>
                <w:bCs w:val="0"/>
                <w:color w:val="auto"/>
                <w:kern w:val="0"/>
                <w:sz w:val="24"/>
                <w:lang w:bidi="ar"/>
              </w:rPr>
              <w:t>用地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Ⅷ级</w:t>
            </w:r>
          </w:p>
        </w:tc>
        <w:tc>
          <w:tcPr>
            <w:tcW w:w="84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河头镇</w:t>
            </w:r>
            <w:r>
              <w:rPr>
                <w:rFonts w:hint="eastAsia" w:ascii="仿宋_GB2312" w:hAnsi="仿宋_GB2312" w:eastAsia="仿宋_GB2312" w:cs="仿宋_GB2312"/>
                <w:color w:val="auto"/>
                <w:kern w:val="0"/>
                <w:sz w:val="24"/>
              </w:rPr>
              <w:t>：河头街-中国能源加油站(金友站)北侧路-河仔口村委会东侧路-S113-中医馆南侧路-博雅幼儿园西侧路-河头居民委员会北侧路；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大江镇</w:t>
            </w:r>
            <w:r>
              <w:rPr>
                <w:rFonts w:hint="eastAsia" w:ascii="仿宋_GB2312" w:hAnsi="仿宋_GB2312" w:eastAsia="仿宋_GB2312" w:cs="仿宋_GB2312"/>
                <w:color w:val="auto"/>
                <w:kern w:val="0"/>
                <w:sz w:val="24"/>
              </w:rPr>
              <w:t>：中国南方电网(大江营业厅)北侧路-新兴县大江镇人民政府东侧路-大江圩南侧路；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里洞镇</w:t>
            </w:r>
            <w:r>
              <w:rPr>
                <w:rFonts w:hint="eastAsia" w:ascii="仿宋_GB2312" w:hAnsi="仿宋_GB2312" w:eastAsia="仿宋_GB2312" w:cs="仿宋_GB2312"/>
                <w:color w:val="auto"/>
                <w:kern w:val="0"/>
                <w:sz w:val="24"/>
              </w:rPr>
              <w:t>：龙下北侧路-顺景公寓北侧路-里洞镇政府东侧路-象田南侧路-独田西侧路-区村西侧路-里洞镇中心小学西侧路；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簕竹镇、天堂镇、车岗镇、稔村镇、水台镇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pacing w:val="-6"/>
                <w:sz w:val="24"/>
                <w:lang w:bidi="ar"/>
              </w:rPr>
              <w:t>除上述级别范围外，所有</w:t>
            </w:r>
            <w:r>
              <w:rPr>
                <w:rFonts w:hint="eastAsia" w:ascii="仿宋_GB2312" w:hAnsi="仿宋_GB2312" w:eastAsia="仿宋_GB2312" w:cs="仿宋_GB2312"/>
                <w:color w:val="auto"/>
                <w:spacing w:val="-6"/>
                <w:kern w:val="0"/>
                <w:sz w:val="24"/>
              </w:rPr>
              <w:t>剩余地块；</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537.72 </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41" w:type="dxa"/>
            <w:vMerge w:val="continue"/>
            <w:tcBorders>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ascii="Arial" w:hAnsi="Arial" w:cs="Arial"/>
                <w:b w:val="0"/>
                <w:bCs/>
                <w:color w:val="auto"/>
                <w:sz w:val="36"/>
                <w:szCs w:val="36"/>
                <w:shd w:val="clear" w:color="auto" w:fill="F8F4F1"/>
              </w:rPr>
            </w:pPr>
            <w:r>
              <w:rPr>
                <w:rFonts w:eastAsia="仿宋_GB2312"/>
                <w:b w:val="0"/>
                <w:bCs/>
                <w:color w:val="auto"/>
                <w:kern w:val="0"/>
                <w:sz w:val="24"/>
              </w:rPr>
              <w:t>IX</w:t>
            </w:r>
            <w:r>
              <w:rPr>
                <w:rFonts w:hint="eastAsia" w:eastAsia="仿宋_GB2312"/>
                <w:b w:val="0"/>
                <w:bCs/>
                <w:color w:val="auto"/>
                <w:kern w:val="0"/>
                <w:sz w:val="24"/>
              </w:rPr>
              <w:t>级</w:t>
            </w:r>
          </w:p>
        </w:tc>
        <w:tc>
          <w:tcPr>
            <w:tcW w:w="84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河头镇、大江镇、里洞镇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383.73</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46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b/>
                <w:bCs/>
                <w:color w:val="auto"/>
                <w:kern w:val="0"/>
                <w:sz w:val="24"/>
                <w:lang w:bidi="ar"/>
              </w:rPr>
              <w:t>合计</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pacing w:val="-11"/>
                <w:kern w:val="0"/>
                <w:sz w:val="24"/>
                <w:lang w:bidi="ar"/>
              </w:rPr>
              <w:t>1522.27</w:t>
            </w:r>
          </w:p>
        </w:tc>
        <w:tc>
          <w:tcPr>
            <w:tcW w:w="12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kern w:val="0"/>
                <w:sz w:val="24"/>
                <w:lang w:bidi="ar"/>
              </w:rPr>
              <w:t>100%</w:t>
            </w:r>
          </w:p>
        </w:tc>
      </w:tr>
    </w:tbl>
    <w:p>
      <w:pPr>
        <w:keepNext w:val="0"/>
        <w:keepLines w:val="0"/>
        <w:pageBreakBefore w:val="0"/>
        <w:widowControl w:val="0"/>
        <w:kinsoku/>
        <w:wordWrap/>
        <w:overflowPunct/>
        <w:topLinePunct w:val="0"/>
        <w:autoSpaceDE/>
        <w:autoSpaceDN/>
        <w:bidi w:val="0"/>
        <w:adjustRightInd/>
        <w:snapToGrid/>
        <w:spacing w:line="240" w:lineRule="atLeast"/>
        <w:ind w:firstLine="440" w:firstLineChars="200"/>
        <w:jc w:val="left"/>
        <w:textAlignment w:val="auto"/>
        <w:rPr>
          <w:rFonts w:hint="eastAsia" w:eastAsia="仿宋_GB2312"/>
          <w:bCs/>
          <w:color w:val="auto"/>
          <w:sz w:val="22"/>
          <w:szCs w:val="22"/>
        </w:rPr>
      </w:pPr>
      <w:r>
        <w:rPr>
          <w:rFonts w:hint="eastAsia" w:eastAsia="仿宋_GB2312"/>
          <w:bCs/>
          <w:color w:val="auto"/>
          <w:sz w:val="22"/>
          <w:szCs w:val="22"/>
        </w:rPr>
        <w:t>注：表中级别范围是概略描述，使用时请注意参照对应用途级别基准地价图，以基准地价图图形界线确定级别范围；表中若有数据不闭合的情况是由四舍五入所致。下同。</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eastAsia="仿宋_GB2312"/>
          <w:bCs/>
          <w:color w:val="auto"/>
          <w:sz w:val="22"/>
          <w:szCs w:val="22"/>
        </w:rPr>
      </w:pPr>
    </w:p>
    <w:p>
      <w:pPr>
        <w:jc w:val="center"/>
        <w:rPr>
          <w:rFonts w:eastAsia="仿宋_GB2312"/>
          <w:b/>
          <w:color w:val="auto"/>
          <w:sz w:val="24"/>
        </w:rPr>
      </w:pPr>
      <w:r>
        <w:rPr>
          <w:rFonts w:hint="eastAsia" w:eastAsia="仿宋_GB2312"/>
          <w:b/>
          <w:color w:val="auto"/>
          <w:sz w:val="24"/>
        </w:rPr>
        <w:t>3-2-3</w:t>
      </w:r>
      <w:r>
        <w:rPr>
          <w:rFonts w:eastAsia="仿宋_GB2312"/>
          <w:b/>
          <w:color w:val="auto"/>
          <w:sz w:val="24"/>
        </w:rPr>
        <w:t xml:space="preserve"> </w:t>
      </w:r>
      <w:r>
        <w:rPr>
          <w:rFonts w:hint="eastAsia" w:eastAsia="仿宋_GB2312"/>
          <w:b/>
          <w:color w:val="auto"/>
          <w:sz w:val="24"/>
        </w:rPr>
        <w:t>新兴县</w:t>
      </w:r>
      <w:r>
        <w:rPr>
          <w:rFonts w:eastAsia="仿宋_GB2312"/>
          <w:b/>
          <w:color w:val="auto"/>
          <w:sz w:val="24"/>
        </w:rPr>
        <w:t>住宅用地定级结果表</w:t>
      </w:r>
    </w:p>
    <w:p>
      <w:pPr>
        <w:keepNext/>
        <w:autoSpaceDE w:val="0"/>
        <w:autoSpaceDN w:val="0"/>
        <w:adjustRightInd w:val="0"/>
        <w:snapToGrid w:val="0"/>
        <w:ind w:firstLine="480" w:firstLineChars="200"/>
        <w:jc w:val="right"/>
        <w:rPr>
          <w:rFonts w:eastAsia="仿宋_GB2312"/>
          <w:color w:val="auto"/>
          <w:sz w:val="24"/>
        </w:rPr>
      </w:pPr>
      <w:r>
        <w:rPr>
          <w:rFonts w:eastAsia="仿宋_GB2312"/>
          <w:color w:val="auto"/>
          <w:sz w:val="24"/>
        </w:rPr>
        <w:t>单位：平方公里</w:t>
      </w:r>
    </w:p>
    <w:tbl>
      <w:tblPr>
        <w:tblStyle w:val="88"/>
        <w:tblW w:w="12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939"/>
        <w:gridCol w:w="8582"/>
        <w:gridCol w:w="991"/>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950" w:type="dxa"/>
            <w:tcBorders>
              <w:top w:val="single" w:color="auto" w:sz="4" w:space="0"/>
              <w:left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用地</w:t>
            </w:r>
          </w:p>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类型</w:t>
            </w:r>
          </w:p>
        </w:tc>
        <w:tc>
          <w:tcPr>
            <w:tcW w:w="93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w:t>
            </w:r>
          </w:p>
        </w:tc>
        <w:tc>
          <w:tcPr>
            <w:tcW w:w="858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级别范围概要描述</w:t>
            </w:r>
          </w:p>
        </w:tc>
        <w:tc>
          <w:tcPr>
            <w:tcW w:w="99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面积</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占总面积比例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50" w:type="dxa"/>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住宅</w:t>
            </w:r>
          </w:p>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用地</w:t>
            </w:r>
          </w:p>
        </w:tc>
        <w:tc>
          <w:tcPr>
            <w:tcW w:w="93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lang w:bidi="ar"/>
              </w:rPr>
              <w:t>Ⅰ级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集成河-广兴大道中-广兴大道西-文建路-规划路-文建路-筠州路-育才南路-荔园路；</w:t>
            </w:r>
          </w:p>
        </w:tc>
        <w:tc>
          <w:tcPr>
            <w:tcW w:w="99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2.77 </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5" w:hRule="atLeast"/>
          <w:jc w:val="center"/>
        </w:trPr>
        <w:tc>
          <w:tcPr>
            <w:tcW w:w="950"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3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lang w:bidi="ar"/>
              </w:rPr>
              <w:t>Ⅱ级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①规划路-新兴县惠能中学北侧路-新兴县北英实验学校北侧路-新兴县北英实验学校东侧路-筠城翰林春天2期东侧路--筠城翰林春天2期南侧路-筠城翰林春天西侧路-广兴大道东-规划路-城东路-集成河-规划路-共成河-翔兴路-规划路-翔顺花园东侧路-翔顺品园东侧路-东堤南路-翔顺二桥-兴龙路-大南路-建设南路-果园路-狮岗路-规划路-象岗路-较场路-城西路-广兴大道西-宏顺家具厂东侧路-规划路-碧桂园雅居乐大名府-1期西侧路-二环路西段；②育才南路-筠州路-升平路-荔园路；③沿江北路-荔园路-新洲大道北-广州市电力工程有限公司新兴项目部北侧路-祥利明珠华府东侧路-二环北路；</w:t>
            </w:r>
          </w:p>
        </w:tc>
        <w:tc>
          <w:tcPr>
            <w:tcW w:w="99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8.88 </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9" w:hRule="atLeast"/>
          <w:jc w:val="center"/>
        </w:trPr>
        <w:tc>
          <w:tcPr>
            <w:tcW w:w="950"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3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lang w:bidi="ar"/>
              </w:rPr>
              <w:t>Ⅲ级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二环东路-G359南侧山体-城东路-规划路-共成河-小南路-新兴县城区凤凰小学-规划路-翔顺集团综合园区东南侧道路-规划路-二环路西段-六祖大道-规划路-筠州小镇南侧路-X484-万事泰不锈钢制品有限公司西侧路-规划路-兴龙路-平南路-兴业路-规划路-广兴大道西-二环路西段-筠城传奇西侧路-新兴江-二环北路-规划路-筠城翰林公馆北侧道路；</w:t>
            </w:r>
          </w:p>
        </w:tc>
        <w:tc>
          <w:tcPr>
            <w:tcW w:w="99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10.78 </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950" w:type="dxa"/>
            <w:vMerge w:val="restart"/>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住宅</w:t>
            </w:r>
          </w:p>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用地</w:t>
            </w:r>
          </w:p>
        </w:tc>
        <w:tc>
          <w:tcPr>
            <w:tcW w:w="9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rPr>
              <w:t>Ⅳ级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二环北路-规划路-广兴大道东-二环东路-规划路-禅域小镇国樾府西侧路-规划路-二环路西段-金台山智慧公园南侧路-祥利集团有限公司西侧路-广东新合铝业新兴有限公司西侧路-广东筠宏混凝土有限公司西侧路-新兴县厚德五金塑料制品有限公司西侧路-广东建兴混凝土有限公司西侧路-S113-新兴江；</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新兴县东成镇威士龙皮具加工厂南侧路-新兴县东成财政所南侧路-东兴皮具配料商行东侧路；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六祖镇：</w:t>
            </w:r>
            <w:r>
              <w:rPr>
                <w:rFonts w:hint="eastAsia" w:ascii="仿宋_GB2312" w:hAnsi="仿宋_GB2312" w:eastAsia="仿宋_GB2312" w:cs="仿宋_GB2312"/>
                <w:color w:val="auto"/>
                <w:sz w:val="24"/>
              </w:rPr>
              <w:t>集成北路-六祖镇人民政府北侧路-佛光路-集新路；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太平镇</w:t>
            </w:r>
            <w:r>
              <w:rPr>
                <w:rFonts w:hint="eastAsia" w:ascii="仿宋_GB2312" w:hAnsi="仿宋_GB2312" w:eastAsia="仿宋_GB2312" w:cs="仿宋_GB2312"/>
                <w:color w:val="auto"/>
                <w:sz w:val="24"/>
              </w:rPr>
              <w:t>：华兴隆皮具厂北侧路-X483；</w:t>
            </w:r>
          </w:p>
        </w:tc>
        <w:tc>
          <w:tcPr>
            <w:tcW w:w="99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28.18 </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jc w:val="center"/>
        </w:trPr>
        <w:tc>
          <w:tcPr>
            <w:tcW w:w="950"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3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rPr>
              <w:t>Ⅴ级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①新兴新材料产业园南侧-城市规划范围线-东成大道-信息路-规划路-二环东路-规划路-城市规划范围线-深岑高速；②东成大道-小天才幼儿园西侧路-广东新兴凤铝铝业有限公司南侧路-东成鸿泰山庄西侧路；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东成镇中心小学东侧路-东成公园南侧路-伟斯利皮具厂南侧路-好邻居超级商场(东成店)南侧路-新兴县东成镇童星幼儿园南侧路-X485-东成大道-规划路-廻龙河-古院街；</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天堂镇：</w:t>
            </w:r>
            <w:r>
              <w:rPr>
                <w:rFonts w:hint="eastAsia" w:ascii="仿宋_GB2312" w:hAnsi="仿宋_GB2312" w:eastAsia="仿宋_GB2312" w:cs="仿宋_GB2312"/>
                <w:color w:val="auto"/>
                <w:sz w:val="24"/>
              </w:rPr>
              <w:t>解放北路-解放中路-解放南路-建设中路；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车岗镇：</w:t>
            </w:r>
            <w:r>
              <w:rPr>
                <w:rFonts w:hint="eastAsia" w:ascii="仿宋_GB2312" w:hAnsi="仿宋_GB2312" w:eastAsia="仿宋_GB2312" w:cs="仿宋_GB2312"/>
                <w:color w:val="auto"/>
                <w:sz w:val="24"/>
              </w:rPr>
              <w:t>兴隆路-车岗镇人民政府东侧路-兴民路-S276；</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稔村镇：</w:t>
            </w:r>
            <w:r>
              <w:rPr>
                <w:rFonts w:hint="eastAsia" w:ascii="仿宋_GB2312" w:hAnsi="仿宋_GB2312" w:eastAsia="仿宋_GB2312" w:cs="仿宋_GB2312"/>
                <w:color w:val="auto"/>
                <w:sz w:val="24"/>
              </w:rPr>
              <w:t>新街-旧街-文兴路-育才路；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水台镇：</w:t>
            </w:r>
            <w:r>
              <w:rPr>
                <w:rFonts w:hint="eastAsia" w:ascii="仿宋_GB2312" w:hAnsi="仿宋_GB2312" w:eastAsia="仿宋_GB2312" w:cs="仿宋_GB2312"/>
                <w:color w:val="auto"/>
                <w:sz w:val="24"/>
              </w:rPr>
              <w:t>水</w:t>
            </w:r>
            <w:r>
              <w:rPr>
                <w:rFonts w:hint="eastAsia" w:ascii="仿宋_GB2312" w:hAnsi="仿宋_GB2312" w:eastAsia="仿宋_GB2312" w:cs="仿宋_GB2312"/>
                <w:color w:val="auto"/>
                <w:spacing w:val="-6"/>
                <w:sz w:val="24"/>
              </w:rPr>
              <w:t>台街-水台镇人民政府东侧路-双和公路-新兴金堤湾酒店西侧路-金台街；</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太平镇：</w:t>
            </w:r>
            <w:r>
              <w:rPr>
                <w:rFonts w:hint="eastAsia" w:ascii="仿宋_GB2312" w:hAnsi="仿宋_GB2312" w:eastAsia="仿宋_GB2312" w:cs="仿宋_GB2312"/>
                <w:color w:val="auto"/>
                <w:sz w:val="24"/>
              </w:rPr>
              <w:t>①新兴县蚕岗中学东北侧路-太平镇人民政府东侧路-富聪达建材北侧路-太平街-新和裕五金制品有限公司东侧路-新兴县太平镇敬老院西侧路-新兴县荣安温氏家禽有限公司南侧路-云浮市灏岚农业科技有限公司东侧路；②X483-共成幼儿园西侧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六祖镇</w:t>
            </w:r>
            <w:r>
              <w:rPr>
                <w:rFonts w:hint="eastAsia" w:ascii="仿宋_GB2312" w:hAnsi="仿宋_GB2312" w:eastAsia="仿宋_GB2312" w:cs="仿宋_GB2312"/>
                <w:color w:val="auto"/>
                <w:kern w:val="0"/>
                <w:sz w:val="24"/>
              </w:rPr>
              <w:t>：①塔脚村委会南侧路-六祖经塔东侧路-国恩寺东侧路-新兴悦和莊酒店南侧路-集成河；②六祖大道-上洞-六祖惠能故居南侧路-佛光路-集成南路-集成北路-集新路-梯山东侧路-养古岗东侧路-新兴县人民法院旅游巡回法庭东侧路-六祖镇新时代文明实践所南侧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：旧街-簕竹中心小学西侧路-簕竹镇国土资源管理所西北侧路；</w:t>
            </w:r>
          </w:p>
        </w:tc>
        <w:tc>
          <w:tcPr>
            <w:tcW w:w="99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47.54 </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7" w:hRule="atLeast"/>
          <w:jc w:val="center"/>
        </w:trPr>
        <w:tc>
          <w:tcPr>
            <w:tcW w:w="950" w:type="dxa"/>
            <w:vMerge w:val="restart"/>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住宅</w:t>
            </w:r>
          </w:p>
          <w:p>
            <w:pPr>
              <w:adjustRightInd w:val="0"/>
              <w:snapToGrid w:val="0"/>
              <w:spacing w:line="240" w:lineRule="auto"/>
              <w:jc w:val="center"/>
              <w:rPr>
                <w:rFonts w:eastAsia="仿宋_GB2312"/>
                <w:b/>
                <w:color w:val="auto"/>
                <w:kern w:val="0"/>
                <w:sz w:val="24"/>
                <w:lang w:bidi="ar"/>
              </w:rPr>
            </w:pPr>
            <w:r>
              <w:rPr>
                <w:rFonts w:eastAsia="仿宋_GB2312"/>
                <w:b/>
                <w:color w:val="auto"/>
                <w:kern w:val="0"/>
                <w:sz w:val="24"/>
                <w:lang w:bidi="ar"/>
              </w:rPr>
              <w:t>用地</w:t>
            </w:r>
          </w:p>
        </w:tc>
        <w:tc>
          <w:tcPr>
            <w:tcW w:w="9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rPr>
                <w:rFonts w:hint="eastAsia" w:ascii="仿宋_GB2312" w:hAnsi="仿宋_GB2312" w:eastAsia="仿宋_GB2312" w:cs="仿宋_GB2312"/>
                <w:b w:val="0"/>
                <w:bCs/>
                <w:color w:val="auto"/>
                <w:kern w:val="0"/>
                <w:sz w:val="24"/>
                <w:lang w:bidi="ar"/>
              </w:rPr>
            </w:pPr>
            <w:r>
              <w:rPr>
                <w:rFonts w:hint="eastAsia" w:ascii="仿宋_GB2312" w:hAnsi="仿宋_GB2312" w:eastAsia="仿宋_GB2312" w:cs="仿宋_GB2312"/>
                <w:b w:val="0"/>
                <w:bCs/>
                <w:color w:val="auto"/>
                <w:kern w:val="0"/>
                <w:sz w:val="24"/>
              </w:rPr>
              <w:t>Ⅵ级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城区、东成镇、太平镇、六祖镇：</w:t>
            </w:r>
            <w:r>
              <w:rPr>
                <w:rFonts w:hint="eastAsia" w:ascii="仿宋_GB2312" w:hAnsi="仿宋_GB2312" w:eastAsia="仿宋_GB2312" w:cs="仿宋_GB2312"/>
                <w:color w:val="auto"/>
                <w:kern w:val="0"/>
                <w:sz w:val="24"/>
              </w:rPr>
              <w:t>除上述级别范围外，所有剩余地块；</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S113-中化石油加油站(新兴狮子岗站)北侧路-大成木业南侧路-簕竹卫生院东侧路-旧街-中国教育工会簕竹镇基层委员会南侧路-新兴县簕竹中学东侧路-广东温氏佳润食品有限公司东侧路-谷仓坝西侧路-S113西北侧农田；</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S276-中国石化东侧路-车岗镇文化广场东侧路-车岗镇中心小学东侧路-府前路-兴隆路-S276-兴民路-车岗中学东侧路-相塘村委会南侧路；</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稔村镇：</w:t>
            </w:r>
            <w:r>
              <w:rPr>
                <w:rFonts w:hint="eastAsia" w:ascii="仿宋_GB2312" w:hAnsi="仿宋_GB2312" w:eastAsia="仿宋_GB2312" w:cs="仿宋_GB2312"/>
                <w:color w:val="auto"/>
                <w:kern w:val="0"/>
                <w:sz w:val="24"/>
              </w:rPr>
              <w:t>①S274-新街-新兴县稔村中学北侧路-稔村镇中心小学北侧-姚性坊南侧-文兴路-新街-稔村镇综治中心北侧路；②合和大道-新兴县金玛利陶瓷有限公司东侧路-新兴建兴陶瓷有限公司东侧路-溶洲二厂西侧路；③S274-双阳村南侧路-新兴宏基陶瓷有限公司西侧路；</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水台镇：</w:t>
            </w:r>
            <w:r>
              <w:rPr>
                <w:rFonts w:hint="eastAsia" w:ascii="仿宋_GB2312" w:hAnsi="仿宋_GB2312" w:eastAsia="仿宋_GB2312" w:cs="仿宋_GB2312"/>
                <w:color w:val="auto"/>
                <w:kern w:val="0"/>
                <w:sz w:val="24"/>
              </w:rPr>
              <w:t>①良田工业园；②双和公路-深岑高速-汇远陶瓷展厅(成品仓)南侧路-广东吉源铝业有限公司南侧路-俊建混凝土西侧路；③悦天下生态度假区；④广东翔顺金水台温泉小镇；</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：建安路-S113-中间村民委员会西侧路-大冲口西侧路-蕉根南侧路-新兴碧桂园天御北侧路；</w:t>
            </w:r>
          </w:p>
        </w:tc>
        <w:tc>
          <w:tcPr>
            <w:tcW w:w="9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502.56 </w:t>
            </w:r>
          </w:p>
        </w:tc>
        <w:tc>
          <w:tcPr>
            <w:tcW w:w="11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72" w:hRule="atLeast"/>
          <w:jc w:val="center"/>
        </w:trPr>
        <w:tc>
          <w:tcPr>
            <w:tcW w:w="950"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rPr>
                <w:rFonts w:hint="eastAsia" w:ascii="仿宋_GB2312" w:hAnsi="仿宋_GB2312" w:eastAsia="仿宋_GB2312" w:cs="仿宋_GB2312"/>
                <w:b w:val="0"/>
                <w:bCs/>
                <w:color w:val="auto"/>
                <w:kern w:val="0"/>
                <w:sz w:val="24"/>
                <w:lang w:bidi="ar"/>
              </w:rPr>
            </w:pPr>
            <w:r>
              <w:rPr>
                <w:rFonts w:hint="eastAsia" w:ascii="仿宋_GB2312" w:hAnsi="仿宋_GB2312" w:eastAsia="仿宋_GB2312" w:cs="仿宋_GB2312"/>
                <w:b w:val="0"/>
                <w:bCs/>
                <w:color w:val="auto"/>
                <w:kern w:val="0"/>
                <w:sz w:val="24"/>
              </w:rPr>
              <w:t>Ⅶ级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河头镇</w:t>
            </w:r>
            <w:r>
              <w:rPr>
                <w:rFonts w:hint="eastAsia" w:ascii="仿宋_GB2312" w:hAnsi="仿宋_GB2312" w:eastAsia="仿宋_GB2312" w:cs="仿宋_GB2312"/>
                <w:color w:val="auto"/>
                <w:kern w:val="0"/>
                <w:sz w:val="24"/>
              </w:rPr>
              <w:t>：河头街-中国能源加油站(金友站)北侧路-河仔口村委会东侧路-S113-中医馆南侧路-博雅幼儿园西侧路-河头居民委员会北侧路；</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大江镇</w:t>
            </w:r>
            <w:r>
              <w:rPr>
                <w:rFonts w:hint="eastAsia" w:ascii="仿宋_GB2312" w:hAnsi="仿宋_GB2312" w:eastAsia="仿宋_GB2312" w:cs="仿宋_GB2312"/>
                <w:color w:val="auto"/>
                <w:kern w:val="0"/>
                <w:sz w:val="24"/>
              </w:rPr>
              <w:t>：中国南方电网(大江营业厅)北侧路-新兴县大江镇人民政府东侧路-大江圩南侧路；</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里洞镇</w:t>
            </w:r>
            <w:r>
              <w:rPr>
                <w:rFonts w:hint="eastAsia" w:ascii="仿宋_GB2312" w:hAnsi="仿宋_GB2312" w:eastAsia="仿宋_GB2312" w:cs="仿宋_GB2312"/>
                <w:color w:val="auto"/>
                <w:kern w:val="0"/>
                <w:sz w:val="24"/>
              </w:rPr>
              <w:t>：龙下北侧路-顺景公寓北侧路-里洞镇政府东侧路-象田南侧路-独田西侧路-区村西侧路-里洞镇中心小学西侧路；</w:t>
            </w:r>
          </w:p>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b/>
                <w:bCs/>
                <w:color w:val="auto"/>
                <w:sz w:val="24"/>
                <w:lang w:bidi="ar"/>
              </w:rPr>
            </w:pPr>
            <w:r>
              <w:rPr>
                <w:rFonts w:hint="eastAsia" w:ascii="仿宋_GB2312" w:hAnsi="仿宋_GB2312" w:eastAsia="仿宋_GB2312" w:cs="仿宋_GB2312"/>
                <w:b/>
                <w:bCs/>
                <w:color w:val="auto"/>
                <w:kern w:val="0"/>
                <w:sz w:val="24"/>
              </w:rPr>
              <w:t>簕竹镇、天堂镇、车岗镇、稔村镇、水台镇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tc>
        <w:tc>
          <w:tcPr>
            <w:tcW w:w="9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537.83</w:t>
            </w:r>
          </w:p>
        </w:tc>
        <w:tc>
          <w:tcPr>
            <w:tcW w:w="11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950" w:type="dxa"/>
            <w:vMerge w:val="continue"/>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rPr>
                <w:rFonts w:hint="eastAsia" w:ascii="仿宋_GB2312" w:hAnsi="仿宋_GB2312" w:eastAsia="仿宋_GB2312" w:cs="仿宋_GB2312"/>
                <w:b w:val="0"/>
                <w:bCs/>
                <w:color w:val="auto"/>
                <w:kern w:val="0"/>
                <w:sz w:val="24"/>
                <w:lang w:bidi="ar"/>
              </w:rPr>
            </w:pPr>
            <w:r>
              <w:rPr>
                <w:rFonts w:hint="eastAsia" w:ascii="仿宋_GB2312" w:hAnsi="仿宋_GB2312" w:eastAsia="仿宋_GB2312" w:cs="仿宋_GB2312"/>
                <w:b w:val="0"/>
                <w:bCs/>
                <w:color w:val="auto"/>
                <w:kern w:val="0"/>
                <w:sz w:val="24"/>
              </w:rPr>
              <w:t>Ⅷ级</w:t>
            </w:r>
          </w:p>
        </w:tc>
        <w:tc>
          <w:tcPr>
            <w:tcW w:w="85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rPr>
                <w:rFonts w:hint="eastAsia" w:ascii="仿宋_GB2312" w:hAnsi="仿宋_GB2312" w:eastAsia="仿宋_GB2312" w:cs="仿宋_GB2312"/>
                <w:b/>
                <w:bCs/>
                <w:color w:val="auto"/>
                <w:sz w:val="24"/>
                <w:lang w:bidi="ar"/>
              </w:rPr>
            </w:pPr>
            <w:r>
              <w:rPr>
                <w:rFonts w:hint="eastAsia" w:ascii="仿宋_GB2312" w:hAnsi="仿宋_GB2312" w:eastAsia="仿宋_GB2312" w:cs="仿宋_GB2312"/>
                <w:b/>
                <w:bCs/>
                <w:color w:val="auto"/>
                <w:kern w:val="0"/>
                <w:sz w:val="24"/>
              </w:rPr>
              <w:t>河头镇、大江镇、里洞镇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tc>
        <w:tc>
          <w:tcPr>
            <w:tcW w:w="9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383.73 </w:t>
            </w:r>
          </w:p>
        </w:tc>
        <w:tc>
          <w:tcPr>
            <w:tcW w:w="11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50" w:type="dxa"/>
            <w:tcBorders>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p>
        </w:tc>
        <w:tc>
          <w:tcPr>
            <w:tcW w:w="952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rPr>
                <w:rFonts w:hint="eastAsia" w:ascii="仿宋_GB2312" w:hAnsi="仿宋_GB2312" w:eastAsia="仿宋_GB2312" w:cs="仿宋_GB2312"/>
                <w:b/>
                <w:bCs/>
                <w:color w:val="auto"/>
                <w:sz w:val="24"/>
                <w:lang w:bidi="ar"/>
              </w:rPr>
            </w:pPr>
            <w:r>
              <w:rPr>
                <w:rFonts w:hint="eastAsia" w:ascii="仿宋_GB2312" w:hAnsi="仿宋_GB2312" w:eastAsia="仿宋_GB2312" w:cs="仿宋_GB2312"/>
                <w:b/>
                <w:bCs/>
                <w:color w:val="auto"/>
                <w:kern w:val="0"/>
                <w:sz w:val="24"/>
                <w:lang w:bidi="ar"/>
              </w:rPr>
              <w:t>合计</w:t>
            </w:r>
          </w:p>
        </w:tc>
        <w:tc>
          <w:tcPr>
            <w:tcW w:w="9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sz w:val="24"/>
                <w:lang w:bidi="ar"/>
              </w:rPr>
            </w:pPr>
            <w:r>
              <w:rPr>
                <w:rFonts w:hint="eastAsia" w:ascii="仿宋_GB2312" w:hAnsi="仿宋_GB2312" w:eastAsia="仿宋_GB2312" w:cs="仿宋_GB2312"/>
                <w:b w:val="0"/>
                <w:bCs w:val="0"/>
                <w:color w:val="auto"/>
                <w:spacing w:val="-17"/>
                <w:kern w:val="0"/>
                <w:sz w:val="24"/>
                <w:lang w:bidi="ar"/>
              </w:rPr>
              <w:t>1522.27</w:t>
            </w:r>
          </w:p>
        </w:tc>
        <w:tc>
          <w:tcPr>
            <w:tcW w:w="11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val="0"/>
              <w:spacing w:line="300" w:lineRule="exact"/>
              <w:jc w:val="center"/>
              <w:textAlignment w:val="center"/>
              <w:rPr>
                <w:rFonts w:hint="eastAsia" w:ascii="仿宋_GB2312" w:hAnsi="仿宋_GB2312" w:eastAsia="仿宋_GB2312" w:cs="仿宋_GB2312"/>
                <w:b w:val="0"/>
                <w:bCs w:val="0"/>
                <w:color w:val="auto"/>
                <w:sz w:val="24"/>
                <w:lang w:bidi="ar"/>
              </w:rPr>
            </w:pPr>
            <w:r>
              <w:rPr>
                <w:rFonts w:hint="eastAsia" w:ascii="仿宋_GB2312" w:hAnsi="仿宋_GB2312" w:eastAsia="仿宋_GB2312" w:cs="仿宋_GB2312"/>
                <w:b w:val="0"/>
                <w:bCs w:val="0"/>
                <w:color w:val="auto"/>
                <w:kern w:val="0"/>
                <w:sz w:val="24"/>
                <w:lang w:bidi="ar"/>
              </w:rPr>
              <w:t>100%</w:t>
            </w:r>
          </w:p>
        </w:tc>
      </w:tr>
    </w:tbl>
    <w:p>
      <w:pPr>
        <w:keepNext/>
        <w:adjustRightInd w:val="0"/>
        <w:snapToGrid w:val="0"/>
        <w:spacing w:before="156" w:beforeLines="50"/>
        <w:jc w:val="center"/>
        <w:rPr>
          <w:rFonts w:eastAsia="仿宋_GB2312"/>
          <w:b/>
          <w:color w:val="auto"/>
          <w:sz w:val="24"/>
        </w:rPr>
      </w:pPr>
      <w:r>
        <w:rPr>
          <w:rFonts w:eastAsia="仿宋_GB2312"/>
          <w:b/>
          <w:color w:val="auto"/>
          <w:sz w:val="24"/>
        </w:rPr>
        <w:t>表</w:t>
      </w:r>
      <w:r>
        <w:rPr>
          <w:rFonts w:hint="eastAsia" w:eastAsia="仿宋_GB2312"/>
          <w:b/>
          <w:color w:val="auto"/>
          <w:sz w:val="24"/>
        </w:rPr>
        <w:t>3-2-4</w:t>
      </w:r>
      <w:r>
        <w:rPr>
          <w:rFonts w:eastAsia="仿宋_GB2312"/>
          <w:b/>
          <w:color w:val="auto"/>
          <w:sz w:val="24"/>
        </w:rPr>
        <w:t xml:space="preserve"> </w:t>
      </w:r>
      <w:r>
        <w:rPr>
          <w:rFonts w:hint="eastAsia" w:eastAsia="仿宋_GB2312"/>
          <w:b/>
          <w:color w:val="auto"/>
          <w:sz w:val="24"/>
        </w:rPr>
        <w:t>新兴县</w:t>
      </w:r>
      <w:r>
        <w:rPr>
          <w:rFonts w:eastAsia="仿宋_GB2312"/>
          <w:b/>
          <w:color w:val="auto"/>
          <w:sz w:val="24"/>
        </w:rPr>
        <w:t>工业用地定级结果表</w:t>
      </w:r>
    </w:p>
    <w:p>
      <w:pPr>
        <w:keepNext/>
        <w:autoSpaceDE w:val="0"/>
        <w:autoSpaceDN w:val="0"/>
        <w:adjustRightInd w:val="0"/>
        <w:snapToGrid w:val="0"/>
        <w:ind w:firstLine="480" w:firstLineChars="200"/>
        <w:jc w:val="right"/>
        <w:rPr>
          <w:rFonts w:eastAsia="仿宋_GB2312"/>
          <w:color w:val="auto"/>
          <w:sz w:val="24"/>
        </w:rPr>
      </w:pPr>
      <w:r>
        <w:rPr>
          <w:rFonts w:eastAsia="仿宋_GB2312"/>
          <w:color w:val="auto"/>
          <w:sz w:val="24"/>
        </w:rPr>
        <w:t>单位：平方公里</w:t>
      </w:r>
    </w:p>
    <w:tbl>
      <w:tblPr>
        <w:tblStyle w:val="88"/>
        <w:tblW w:w="12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06"/>
        <w:gridCol w:w="8580"/>
        <w:gridCol w:w="102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blHeader/>
          <w:jc w:val="center"/>
        </w:trPr>
        <w:tc>
          <w:tcPr>
            <w:tcW w:w="960" w:type="dxa"/>
            <w:tcBorders>
              <w:top w:val="single" w:color="auto" w:sz="4" w:space="0"/>
              <w:left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bookmarkStart w:id="42" w:name="OLE_LINK1"/>
            <w:r>
              <w:rPr>
                <w:rFonts w:hint="eastAsia" w:ascii="黑体" w:hAnsi="黑体" w:eastAsia="黑体" w:cs="黑体"/>
                <w:b w:val="0"/>
                <w:bCs/>
                <w:color w:val="auto"/>
                <w:kern w:val="0"/>
                <w:sz w:val="24"/>
                <w:lang w:bidi="ar"/>
              </w:rPr>
              <w:t>用地</w:t>
            </w:r>
          </w:p>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类型</w:t>
            </w:r>
          </w:p>
        </w:tc>
        <w:tc>
          <w:tcPr>
            <w:tcW w:w="90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w:t>
            </w:r>
          </w:p>
        </w:tc>
        <w:tc>
          <w:tcPr>
            <w:tcW w:w="858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级别范围概要描述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面积</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占总面积比例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960" w:type="dxa"/>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hint="eastAsia" w:eastAsia="仿宋_GB2312"/>
                <w:b/>
                <w:color w:val="auto"/>
                <w:kern w:val="0"/>
                <w:sz w:val="24"/>
                <w:lang w:bidi="ar"/>
              </w:rPr>
            </w:pPr>
            <w:r>
              <w:rPr>
                <w:rFonts w:hint="eastAsia" w:eastAsia="仿宋_GB2312"/>
                <w:b/>
                <w:color w:val="auto"/>
                <w:kern w:val="0"/>
                <w:sz w:val="24"/>
                <w:lang w:bidi="ar"/>
              </w:rPr>
              <w:t>工业</w:t>
            </w:r>
          </w:p>
          <w:p>
            <w:pPr>
              <w:adjustRightInd w:val="0"/>
              <w:snapToGrid w:val="0"/>
              <w:spacing w:line="240" w:lineRule="auto"/>
              <w:jc w:val="center"/>
              <w:rPr>
                <w:rFonts w:eastAsia="仿宋_GB2312"/>
                <w:b/>
                <w:color w:val="auto"/>
                <w:kern w:val="0"/>
                <w:sz w:val="24"/>
              </w:rPr>
            </w:pPr>
            <w:r>
              <w:rPr>
                <w:rFonts w:eastAsia="仿宋_GB2312"/>
                <w:b/>
                <w:color w:val="auto"/>
                <w:kern w:val="0"/>
                <w:sz w:val="24"/>
                <w:lang w:bidi="ar"/>
              </w:rPr>
              <w:t>用地</w:t>
            </w:r>
          </w:p>
        </w:tc>
        <w:tc>
          <w:tcPr>
            <w:tcW w:w="90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color w:val="auto"/>
                <w:kern w:val="0"/>
                <w:sz w:val="24"/>
              </w:rPr>
            </w:pPr>
            <w:r>
              <w:rPr>
                <w:rFonts w:eastAsia="仿宋_GB2312"/>
                <w:b/>
                <w:color w:val="auto"/>
                <w:kern w:val="0"/>
                <w:sz w:val="24"/>
                <w:lang w:bidi="ar"/>
              </w:rPr>
              <w:t>Ⅰ级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集成河-建设南路-南街-环城中路-环城西路-环城北路-州背路-广兴大道中-广兴大道西-文泉路-文华路-升平路-文兴路-育才南路-筠州路；</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2.35 </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jc w:val="center"/>
        </w:trPr>
        <w:tc>
          <w:tcPr>
            <w:tcW w:w="960"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0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color w:val="auto"/>
                <w:kern w:val="0"/>
                <w:sz w:val="24"/>
              </w:rPr>
            </w:pPr>
            <w:r>
              <w:rPr>
                <w:rFonts w:eastAsia="仿宋_GB2312"/>
                <w:b/>
                <w:color w:val="auto"/>
                <w:kern w:val="0"/>
                <w:sz w:val="24"/>
                <w:lang w:bidi="ar"/>
              </w:rPr>
              <w:t>Ⅱ级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规划路-新兴县惠能中学北侧路-筠城翰林春天2期东侧路-城东路-集成河-规划路-共成河-翔兴路-翔顺花园东侧路-翔顺集团综合园区东侧路-规划路-东堤南路-翔顺二桥-兴龙路-规划路-狮岗路-规划路-象岗路-城西路-文建路-筠州路-新兴县翔顺敏行小学东侧路-荔园路；</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8.06 </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9" w:hRule="atLeast"/>
          <w:jc w:val="center"/>
        </w:trPr>
        <w:tc>
          <w:tcPr>
            <w:tcW w:w="960"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0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color w:val="auto"/>
                <w:kern w:val="0"/>
                <w:sz w:val="24"/>
              </w:rPr>
            </w:pPr>
            <w:r>
              <w:rPr>
                <w:rFonts w:eastAsia="仿宋_GB2312"/>
                <w:b/>
                <w:color w:val="auto"/>
                <w:kern w:val="0"/>
                <w:sz w:val="24"/>
                <w:lang w:bidi="ar"/>
              </w:rPr>
              <w:t>Ⅲ级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二环北路-二环东路-规划路-X485-永联纸品有限公司东侧路-小南路-上良坊-规划路-筠州小镇南侧路-泰丰不锈钢制品有限公司东侧路-万事泰不锈钢制品有限公司西侧路-规划路-兴龙路-平南路-兴业路-规划路-广兴大道西-二环路西段-筠城传奇西侧路-新兴江；</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新兴县东成镇威士龙皮具加工厂南侧路-新兴县东成财政所南侧路-东兴皮具配料商行东侧路；</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六祖镇：</w:t>
            </w:r>
            <w:r>
              <w:rPr>
                <w:rFonts w:hint="eastAsia" w:ascii="仿宋_GB2312" w:hAnsi="仿宋_GB2312" w:eastAsia="仿宋_GB2312" w:cs="仿宋_GB2312"/>
                <w:color w:val="auto"/>
                <w:sz w:val="24"/>
              </w:rPr>
              <w:t>集成北路-六祖镇人民政府北侧路-佛光路-集新路；</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太平镇：</w:t>
            </w:r>
            <w:r>
              <w:rPr>
                <w:rFonts w:hint="eastAsia" w:ascii="仿宋_GB2312" w:hAnsi="仿宋_GB2312" w:eastAsia="仿宋_GB2312" w:cs="仿宋_GB2312"/>
                <w:color w:val="auto"/>
                <w:sz w:val="24"/>
              </w:rPr>
              <w:t>华兴隆皮具厂北侧路-X483；</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14.17</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1" w:hRule="atLeast"/>
          <w:jc w:val="center"/>
        </w:trPr>
        <w:tc>
          <w:tcPr>
            <w:tcW w:w="960" w:type="dxa"/>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hint="eastAsia" w:eastAsia="仿宋_GB2312"/>
                <w:b/>
                <w:color w:val="auto"/>
                <w:kern w:val="0"/>
                <w:sz w:val="24"/>
                <w:lang w:bidi="ar"/>
              </w:rPr>
              <w:t>工业</w:t>
            </w:r>
          </w:p>
          <w:p>
            <w:pPr>
              <w:adjustRightInd w:val="0"/>
              <w:snapToGrid w:val="0"/>
              <w:spacing w:line="240" w:lineRule="auto"/>
              <w:jc w:val="center"/>
              <w:rPr>
                <w:rFonts w:eastAsia="仿宋_GB2312"/>
                <w:color w:val="auto"/>
                <w:sz w:val="24"/>
              </w:rPr>
            </w:pPr>
            <w:r>
              <w:rPr>
                <w:rFonts w:eastAsia="仿宋_GB2312"/>
                <w:b/>
                <w:color w:val="auto"/>
                <w:kern w:val="0"/>
                <w:sz w:val="24"/>
                <w:lang w:bidi="ar"/>
              </w:rPr>
              <w:t>用地</w:t>
            </w:r>
          </w:p>
        </w:tc>
        <w:tc>
          <w:tcPr>
            <w:tcW w:w="9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Ⅳ级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二环东路-二环路西段-金台山智慧公园南侧路-祥利集团有限公司西侧路-广东新合铝业新兴有限公司西侧路-广东筠宏混凝土有限公司西侧路-新兴县厚德五金塑料制品有限公司西侧路-广东建兴混凝土有限公司西侧路-S113-新兴江；</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太平镇</w:t>
            </w:r>
            <w:r>
              <w:rPr>
                <w:rFonts w:hint="eastAsia" w:ascii="仿宋_GB2312" w:hAnsi="仿宋_GB2312" w:eastAsia="仿宋_GB2312" w:cs="仿宋_GB2312"/>
                <w:color w:val="auto"/>
                <w:kern w:val="0"/>
                <w:sz w:val="24"/>
              </w:rPr>
              <w:t>：①太平派出所北侧路-太平镇三根榕小学北侧路X483；②好邻居超市(太平店)东侧路-新祀村-太平镇人民政府北侧路-富伟五金制品有限公司南侧路-新和裕五金制品有限公司东侧路-万利通液化气新兴分公司西侧路-新兴县荣安温氏家禽有限公司南侧路；③共成圩西侧路-X483；</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六祖镇</w:t>
            </w:r>
            <w:r>
              <w:rPr>
                <w:rFonts w:hint="eastAsia" w:ascii="仿宋_GB2312" w:hAnsi="仿宋_GB2312" w:eastAsia="仿宋_GB2312" w:cs="仿宋_GB2312"/>
                <w:color w:val="auto"/>
                <w:kern w:val="0"/>
                <w:sz w:val="24"/>
              </w:rPr>
              <w:t>：①塔脚村委会南侧路-六祖经塔东侧路-国恩寺东侧路-新兴悦和莊酒店南侧路-集成河；②六祖大道-上洞-六祖惠能故居南侧路-佛光路-集成南路-集成北路-集新路-梯山东侧路-养古岗东侧路-新兴县人民法院旅游巡回法庭东侧路-六祖镇新时代文明实践所南侧路；③新兴县明德中学西侧路-新兴农商银行北侧路-新兴农商银行东侧路-六祖卫生院船岗分院北侧路；</w:t>
            </w:r>
          </w:p>
          <w:p>
            <w:pPr>
              <w:keepNext w:val="0"/>
              <w:keepLines w:val="0"/>
              <w:pageBreakBefore w:val="0"/>
              <w:widowControl/>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w:t>
            </w:r>
            <w:r>
              <w:rPr>
                <w:rFonts w:hint="eastAsia" w:ascii="仿宋_GB2312" w:hAnsi="仿宋_GB2312" w:eastAsia="仿宋_GB2312" w:cs="仿宋_GB2312"/>
                <w:color w:val="auto"/>
                <w:kern w:val="0"/>
                <w:sz w:val="24"/>
              </w:rPr>
              <w:t>新兴江支流-古院街-东成镇中心小学东侧路-楠村水泥大道庆宁路-X485；</w:t>
            </w:r>
          </w:p>
          <w:p>
            <w:pPr>
              <w:keepNext w:val="0"/>
              <w:keepLines w:val="0"/>
              <w:pageBreakBefore w:val="0"/>
              <w:widowControl/>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：解放北路-解放中路-解放南路-建设中路；</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：兴隆路-车岗镇人民政府东侧路-兴民路-S276；</w:t>
            </w:r>
          </w:p>
          <w:p>
            <w:pPr>
              <w:keepNext w:val="0"/>
              <w:keepLines w:val="0"/>
              <w:pageBreakBefore w:val="0"/>
              <w:widowControl/>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稔村镇</w:t>
            </w:r>
            <w:r>
              <w:rPr>
                <w:rFonts w:hint="eastAsia" w:ascii="仿宋_GB2312" w:hAnsi="仿宋_GB2312" w:eastAsia="仿宋_GB2312" w:cs="仿宋_GB2312"/>
                <w:color w:val="auto"/>
                <w:kern w:val="0"/>
                <w:sz w:val="24"/>
              </w:rPr>
              <w:t>：新街-旧街-文兴路-育才路；</w:t>
            </w:r>
          </w:p>
          <w:p>
            <w:pPr>
              <w:keepNext w:val="0"/>
              <w:keepLines w:val="0"/>
              <w:pageBreakBefore w:val="0"/>
              <w:widowControl/>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水台镇</w:t>
            </w:r>
            <w:r>
              <w:rPr>
                <w:rFonts w:hint="eastAsia" w:ascii="仿宋_GB2312" w:hAnsi="仿宋_GB2312" w:eastAsia="仿宋_GB2312" w:cs="仿宋_GB2312"/>
                <w:color w:val="auto"/>
                <w:kern w:val="0"/>
                <w:sz w:val="24"/>
              </w:rPr>
              <w:t>：水台街-水台镇人民政府东侧路-双和公路-金台街；</w:t>
            </w:r>
          </w:p>
          <w:p>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：旧街-四组村东侧路-簕竹中心小学西侧路-簕竹教师村北侧路；</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24.14 </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8" w:hRule="atLeast"/>
          <w:jc w:val="center"/>
        </w:trPr>
        <w:tc>
          <w:tcPr>
            <w:tcW w:w="960" w:type="dxa"/>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hint="eastAsia" w:eastAsia="仿宋_GB2312"/>
                <w:b/>
                <w:color w:val="auto"/>
                <w:kern w:val="0"/>
                <w:sz w:val="24"/>
                <w:lang w:bidi="ar"/>
              </w:rPr>
              <w:t>工业</w:t>
            </w:r>
          </w:p>
          <w:p>
            <w:pPr>
              <w:adjustRightInd w:val="0"/>
              <w:snapToGrid w:val="0"/>
              <w:spacing w:line="240" w:lineRule="auto"/>
              <w:jc w:val="center"/>
              <w:rPr>
                <w:rFonts w:eastAsia="仿宋_GB2312"/>
                <w:color w:val="auto"/>
                <w:sz w:val="24"/>
              </w:rPr>
            </w:pPr>
            <w:r>
              <w:rPr>
                <w:rFonts w:eastAsia="仿宋_GB2312"/>
                <w:b/>
                <w:color w:val="auto"/>
                <w:kern w:val="0"/>
                <w:sz w:val="24"/>
                <w:lang w:bidi="ar"/>
              </w:rPr>
              <w:t>用地</w:t>
            </w:r>
          </w:p>
        </w:tc>
        <w:tc>
          <w:tcPr>
            <w:tcW w:w="9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eastAsia="仿宋_GB2312"/>
                <w:b/>
                <w:color w:val="auto"/>
                <w:kern w:val="0"/>
                <w:sz w:val="24"/>
              </w:rPr>
            </w:pPr>
            <w:r>
              <w:rPr>
                <w:rFonts w:eastAsia="仿宋_GB2312"/>
                <w:b/>
                <w:bCs/>
                <w:color w:val="auto"/>
                <w:sz w:val="24"/>
              </w:rPr>
              <w:t>Ⅴ</w:t>
            </w:r>
            <w:r>
              <w:rPr>
                <w:rFonts w:eastAsia="仿宋_GB2312"/>
                <w:b/>
                <w:color w:val="auto"/>
                <w:kern w:val="0"/>
                <w:sz w:val="24"/>
              </w:rPr>
              <w:t>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hint="eastAsia" w:eastAsia="仿宋_GB2312"/>
                <w:b/>
                <w:bCs/>
                <w:color w:val="auto"/>
                <w:kern w:val="0"/>
                <w:sz w:val="24"/>
              </w:rPr>
              <w:t>城区：</w:t>
            </w:r>
            <w:r>
              <w:rPr>
                <w:rFonts w:hint="eastAsia" w:eastAsia="仿宋_GB2312"/>
                <w:color w:val="auto"/>
                <w:kern w:val="0"/>
                <w:sz w:val="24"/>
              </w:rPr>
              <w:t>新城镇镇界线-城市规划范围线-深岑高速-广东欧亚家居有限公司西侧路-五楞坑西侧路-平沙村民委员会南侧路-城市规划范围线-新城镇镇界线-城市规划范围线；</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车岗镇</w:t>
            </w:r>
            <w:r>
              <w:rPr>
                <w:rFonts w:eastAsia="仿宋_GB2312"/>
                <w:color w:val="auto"/>
                <w:kern w:val="0"/>
                <w:sz w:val="24"/>
              </w:rPr>
              <w:t>：</w:t>
            </w:r>
            <w:r>
              <w:rPr>
                <w:rFonts w:hint="eastAsia" w:eastAsia="仿宋_GB2312"/>
                <w:color w:val="auto"/>
                <w:kern w:val="0"/>
                <w:sz w:val="24"/>
              </w:rPr>
              <w:t>S276-中国石化东侧路-车岗镇文化广场东侧路-车岗镇中心小学东侧路-府前路-兴隆路-S276-兴民路-车岗中学东侧路-相塘村委会南侧路；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水</w:t>
            </w:r>
            <w:r>
              <w:rPr>
                <w:rFonts w:hint="eastAsia" w:eastAsia="仿宋_GB2312"/>
                <w:b/>
                <w:bCs/>
                <w:color w:val="auto"/>
                <w:kern w:val="0"/>
                <w:sz w:val="24"/>
              </w:rPr>
              <w:t>台</w:t>
            </w:r>
            <w:r>
              <w:rPr>
                <w:rFonts w:eastAsia="仿宋_GB2312"/>
                <w:b/>
                <w:bCs/>
                <w:color w:val="auto"/>
                <w:kern w:val="0"/>
                <w:sz w:val="24"/>
              </w:rPr>
              <w:t>镇：</w:t>
            </w:r>
            <w:r>
              <w:rPr>
                <w:rFonts w:eastAsia="仿宋_GB2312"/>
                <w:color w:val="auto"/>
                <w:kern w:val="0"/>
                <w:sz w:val="24"/>
              </w:rPr>
              <w:t>①</w:t>
            </w:r>
            <w:r>
              <w:rPr>
                <w:rFonts w:hint="eastAsia" w:eastAsia="仿宋_GB2312"/>
                <w:color w:val="auto"/>
                <w:kern w:val="0"/>
                <w:sz w:val="24"/>
              </w:rPr>
              <w:t>良田工业园；②双和公路-深岑高速-汇远陶瓷展厅(成品仓)南侧路-广东吉源铝业有限公司南侧路-俊建混凝土西侧路；③悦天下生态度假区；④广东翔顺金水台温泉小镇；</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簕竹镇</w:t>
            </w:r>
            <w:r>
              <w:rPr>
                <w:rFonts w:eastAsia="仿宋_GB2312"/>
                <w:color w:val="auto"/>
                <w:kern w:val="0"/>
                <w:sz w:val="24"/>
              </w:rPr>
              <w:t>：S113-中化石油加油站(新兴狮子岗站)北侧路-大成木业南侧路-簕竹卫生院</w:t>
            </w:r>
            <w:r>
              <w:rPr>
                <w:rFonts w:hint="eastAsia" w:eastAsia="仿宋_GB2312"/>
                <w:color w:val="auto"/>
                <w:kern w:val="0"/>
                <w:sz w:val="24"/>
              </w:rPr>
              <w:t>东侧路</w:t>
            </w:r>
            <w:r>
              <w:rPr>
                <w:rFonts w:eastAsia="仿宋_GB2312"/>
                <w:color w:val="auto"/>
                <w:kern w:val="0"/>
                <w:sz w:val="24"/>
              </w:rPr>
              <w:t>-</w:t>
            </w:r>
            <w:r>
              <w:rPr>
                <w:rFonts w:hint="eastAsia" w:eastAsia="仿宋_GB2312"/>
                <w:color w:val="auto"/>
                <w:kern w:val="0"/>
                <w:sz w:val="24"/>
              </w:rPr>
              <w:t>旧街-中国教育工会簕竹镇基层委员会南侧路-新兴县簕竹中学东侧路-广东温氏佳润食品有限公司东侧路-谷仓坝西侧路-S113西北侧农田；</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天堂镇</w:t>
            </w:r>
            <w:r>
              <w:rPr>
                <w:rFonts w:eastAsia="仿宋_GB2312"/>
                <w:color w:val="auto"/>
                <w:kern w:val="0"/>
                <w:sz w:val="24"/>
              </w:rPr>
              <w:t>：建安路-S113-中间村民委员会西侧路-大冲口西侧路-蕉根南侧路-新兴碧桂园天御北侧路</w:t>
            </w:r>
            <w:r>
              <w:rPr>
                <w:rFonts w:hint="eastAsia" w:eastAsia="仿宋_GB2312"/>
                <w:color w:val="auto"/>
                <w:kern w:val="0"/>
                <w:sz w:val="24"/>
              </w:rPr>
              <w:t>；</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稔村镇：</w:t>
            </w:r>
            <w:r>
              <w:rPr>
                <w:rFonts w:eastAsia="仿宋_GB2312"/>
                <w:color w:val="auto"/>
                <w:kern w:val="0"/>
                <w:sz w:val="24"/>
              </w:rPr>
              <w:t>①S274-新街-新兴县稔村中学北侧路-稔村镇中心小学北侧-姚性坊南侧-文兴路-新街-稔村镇综治中心北侧</w:t>
            </w:r>
            <w:r>
              <w:rPr>
                <w:rFonts w:hint="eastAsia" w:eastAsia="仿宋_GB2312"/>
                <w:color w:val="auto"/>
                <w:kern w:val="0"/>
                <w:sz w:val="24"/>
              </w:rPr>
              <w:t>路；②合和大道-新兴县金玛利陶瓷有限公司东侧路-新兴建兴陶瓷有限公司东侧路-溶洲二厂西侧路；③S274-双阳村南侧路-新兴宏基陶瓷有限公司西侧路；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sz w:val="24"/>
              </w:rPr>
              <w:t>东成镇、太平镇、六祖镇：</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pacing w:val="-23"/>
                <w:kern w:val="0"/>
                <w:sz w:val="24"/>
                <w:lang w:bidi="ar"/>
              </w:rPr>
            </w:pPr>
            <w:r>
              <w:rPr>
                <w:rFonts w:hint="eastAsia" w:ascii="仿宋_GB2312" w:hAnsi="仿宋_GB2312" w:eastAsia="仿宋_GB2312" w:cs="仿宋_GB2312"/>
                <w:b w:val="0"/>
                <w:bCs w:val="0"/>
                <w:color w:val="auto"/>
                <w:spacing w:val="-23"/>
                <w:kern w:val="0"/>
                <w:sz w:val="24"/>
                <w:lang w:bidi="ar"/>
              </w:rPr>
              <w:t>542.69</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9" w:hRule="atLeast"/>
          <w:jc w:val="center"/>
        </w:trPr>
        <w:tc>
          <w:tcPr>
            <w:tcW w:w="960" w:type="dxa"/>
            <w:vMerge w:val="restart"/>
            <w:tcBorders>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lang w:bidi="ar"/>
              </w:rPr>
            </w:pPr>
            <w:r>
              <w:rPr>
                <w:rFonts w:hint="eastAsia" w:eastAsia="仿宋_GB2312"/>
                <w:b/>
                <w:color w:val="auto"/>
                <w:kern w:val="0"/>
                <w:sz w:val="24"/>
                <w:lang w:bidi="ar"/>
              </w:rPr>
              <w:t>工业</w:t>
            </w:r>
          </w:p>
          <w:p>
            <w:pPr>
              <w:adjustRightInd w:val="0"/>
              <w:snapToGrid w:val="0"/>
              <w:spacing w:line="240" w:lineRule="auto"/>
              <w:jc w:val="center"/>
              <w:rPr>
                <w:rFonts w:eastAsia="仿宋_GB2312"/>
                <w:color w:val="auto"/>
                <w:sz w:val="24"/>
              </w:rPr>
            </w:pPr>
            <w:r>
              <w:rPr>
                <w:rFonts w:eastAsia="仿宋_GB2312"/>
                <w:b/>
                <w:color w:val="auto"/>
                <w:kern w:val="0"/>
                <w:sz w:val="24"/>
                <w:lang w:bidi="ar"/>
              </w:rPr>
              <w:t>用地</w:t>
            </w:r>
          </w:p>
        </w:tc>
        <w:tc>
          <w:tcPr>
            <w:tcW w:w="9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eastAsia="仿宋_GB2312"/>
                <w:b/>
                <w:color w:val="auto"/>
                <w:kern w:val="0"/>
                <w:sz w:val="24"/>
              </w:rPr>
            </w:pPr>
            <w:r>
              <w:rPr>
                <w:rFonts w:eastAsia="仿宋_GB2312"/>
                <w:b/>
                <w:color w:val="auto"/>
                <w:kern w:val="0"/>
                <w:sz w:val="24"/>
              </w:rPr>
              <w:t>Ⅵ级</w:t>
            </w:r>
          </w:p>
        </w:tc>
        <w:tc>
          <w:tcPr>
            <w:tcW w:w="85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hint="eastAsia" w:eastAsia="仿宋_GB2312"/>
                <w:b/>
                <w:bCs/>
                <w:color w:val="auto"/>
                <w:kern w:val="0"/>
                <w:sz w:val="24"/>
              </w:rPr>
              <w:t>城区：</w:t>
            </w:r>
            <w:r>
              <w:rPr>
                <w:rFonts w:hint="eastAsia" w:eastAsia="仿宋_GB2312"/>
                <w:color w:val="auto"/>
                <w:kern w:val="0"/>
                <w:sz w:val="24"/>
              </w:rPr>
              <w:t>深岑高速-城市规划范围线-新城镇镇界线-广东欧亚家居有限公司西侧路-广东华朗智汇科技有限公司南侧路；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河头镇</w:t>
            </w:r>
            <w:r>
              <w:rPr>
                <w:rFonts w:eastAsia="仿宋_GB2312"/>
                <w:color w:val="auto"/>
                <w:kern w:val="0"/>
                <w:sz w:val="24"/>
              </w:rPr>
              <w:t>：河头街-</w:t>
            </w:r>
            <w:r>
              <w:rPr>
                <w:rFonts w:hint="eastAsia" w:eastAsia="仿宋_GB2312"/>
                <w:color w:val="auto"/>
                <w:kern w:val="0"/>
                <w:sz w:val="24"/>
              </w:rPr>
              <w:t>中国能源加油站(金友站)北侧路-河仔口村委会东侧路-S113-中医馆南侧路-博雅幼儿园西侧路-河头居民委员会北侧路；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大江镇</w:t>
            </w:r>
            <w:r>
              <w:rPr>
                <w:rFonts w:eastAsia="仿宋_GB2312"/>
                <w:color w:val="auto"/>
                <w:kern w:val="0"/>
                <w:sz w:val="24"/>
              </w:rPr>
              <w:t>：中国南方电网(大江营业厅)</w:t>
            </w:r>
            <w:r>
              <w:rPr>
                <w:rFonts w:hint="eastAsia" w:eastAsia="仿宋_GB2312"/>
                <w:color w:val="auto"/>
                <w:kern w:val="0"/>
                <w:sz w:val="24"/>
              </w:rPr>
              <w:t>北侧路-新兴县大江镇人民政府东侧路-大江圩南侧路；</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里洞镇</w:t>
            </w:r>
            <w:r>
              <w:rPr>
                <w:rFonts w:eastAsia="仿宋_GB2312"/>
                <w:color w:val="auto"/>
                <w:kern w:val="0"/>
                <w:sz w:val="24"/>
              </w:rPr>
              <w:t>：龙下北侧路-顺景公寓北侧路-里洞镇政府东侧路-象田南侧路-独田西侧路-区村西侧路-里洞镇中心小学西侧路</w:t>
            </w:r>
            <w:r>
              <w:rPr>
                <w:rFonts w:hint="eastAsia" w:eastAsia="仿宋_GB2312"/>
                <w:color w:val="auto"/>
                <w:kern w:val="0"/>
                <w:sz w:val="24"/>
              </w:rPr>
              <w:t>；</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b/>
                <w:bCs/>
                <w:color w:val="auto"/>
                <w:sz w:val="24"/>
                <w:lang w:bidi="ar"/>
              </w:rPr>
            </w:pPr>
            <w:r>
              <w:rPr>
                <w:rFonts w:eastAsia="仿宋_GB2312"/>
                <w:b/>
                <w:bCs/>
                <w:color w:val="auto"/>
                <w:kern w:val="0"/>
                <w:sz w:val="24"/>
              </w:rPr>
              <w:t>簕竹镇</w:t>
            </w:r>
            <w:r>
              <w:rPr>
                <w:rFonts w:hint="eastAsia" w:eastAsia="仿宋_GB2312"/>
                <w:b/>
                <w:bCs/>
                <w:color w:val="auto"/>
                <w:kern w:val="0"/>
                <w:sz w:val="24"/>
              </w:rPr>
              <w:t>、</w:t>
            </w:r>
            <w:r>
              <w:rPr>
                <w:rFonts w:eastAsia="仿宋_GB2312"/>
                <w:b/>
                <w:bCs/>
                <w:color w:val="auto"/>
                <w:kern w:val="0"/>
                <w:sz w:val="24"/>
              </w:rPr>
              <w:t>天堂镇、车岗镇、稔村镇、水台镇</w:t>
            </w:r>
            <w:r>
              <w:rPr>
                <w:rFonts w:eastAsia="仿宋_GB2312"/>
                <w:color w:val="auto"/>
                <w:kern w:val="0"/>
                <w:sz w:val="24"/>
              </w:rPr>
              <w:t>：</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pacing w:val="-23"/>
                <w:kern w:val="0"/>
                <w:sz w:val="24"/>
                <w:lang w:bidi="ar"/>
              </w:rPr>
            </w:pPr>
            <w:r>
              <w:rPr>
                <w:rFonts w:hint="eastAsia" w:ascii="仿宋_GB2312" w:hAnsi="仿宋_GB2312" w:eastAsia="仿宋_GB2312" w:cs="仿宋_GB2312"/>
                <w:b w:val="0"/>
                <w:bCs w:val="0"/>
                <w:color w:val="auto"/>
                <w:spacing w:val="-23"/>
                <w:kern w:val="0"/>
                <w:sz w:val="24"/>
                <w:lang w:bidi="ar"/>
              </w:rPr>
              <w:t>547.13</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960"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eastAsia="仿宋_GB2312"/>
                <w:b/>
                <w:color w:val="auto"/>
                <w:kern w:val="0"/>
                <w:sz w:val="24"/>
              </w:rPr>
            </w:pPr>
            <w:r>
              <w:rPr>
                <w:rFonts w:eastAsia="仿宋_GB2312"/>
                <w:b/>
                <w:color w:val="auto"/>
                <w:kern w:val="0"/>
                <w:sz w:val="24"/>
              </w:rPr>
              <w:t>Ⅶ级</w:t>
            </w:r>
          </w:p>
        </w:tc>
        <w:tc>
          <w:tcPr>
            <w:tcW w:w="8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仿宋_GB2312"/>
                <w:b/>
                <w:bCs/>
                <w:color w:val="auto"/>
                <w:kern w:val="0"/>
                <w:sz w:val="24"/>
              </w:rPr>
            </w:pPr>
            <w:r>
              <w:rPr>
                <w:rFonts w:eastAsia="仿宋_GB2312"/>
                <w:b/>
                <w:bCs/>
                <w:color w:val="auto"/>
                <w:kern w:val="0"/>
                <w:sz w:val="24"/>
              </w:rPr>
              <w:t>河头镇、大江镇、里洞镇</w:t>
            </w:r>
            <w:r>
              <w:rPr>
                <w:rFonts w:eastAsia="仿宋_GB2312"/>
                <w:color w:val="auto"/>
                <w:kern w:val="0"/>
                <w:sz w:val="24"/>
              </w:rPr>
              <w:t>：</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pacing w:val="-23"/>
                <w:kern w:val="0"/>
                <w:sz w:val="24"/>
                <w:lang w:bidi="ar"/>
              </w:rPr>
            </w:pPr>
            <w:r>
              <w:rPr>
                <w:rFonts w:hint="eastAsia" w:ascii="仿宋_GB2312" w:hAnsi="仿宋_GB2312" w:eastAsia="仿宋_GB2312" w:cs="仿宋_GB2312"/>
                <w:b w:val="0"/>
                <w:bCs w:val="0"/>
                <w:color w:val="auto"/>
                <w:spacing w:val="-23"/>
                <w:kern w:val="0"/>
                <w:sz w:val="24"/>
                <w:lang w:bidi="ar"/>
              </w:rPr>
              <w:t>383.73</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60" w:type="dxa"/>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48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eastAsia="仿宋_GB2312"/>
                <w:b/>
                <w:bCs/>
                <w:color w:val="auto"/>
                <w:kern w:val="0"/>
                <w:sz w:val="24"/>
              </w:rPr>
            </w:pPr>
            <w:r>
              <w:rPr>
                <w:rFonts w:eastAsia="仿宋_GB2312"/>
                <w:b/>
                <w:bCs/>
                <w:color w:val="auto"/>
                <w:kern w:val="0"/>
                <w:sz w:val="24"/>
                <w:lang w:bidi="ar"/>
              </w:rPr>
              <w:t>合计</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pacing w:val="-23"/>
                <w:kern w:val="0"/>
                <w:sz w:val="24"/>
                <w:lang w:bidi="ar"/>
              </w:rPr>
            </w:pPr>
            <w:r>
              <w:rPr>
                <w:rFonts w:hint="eastAsia" w:ascii="仿宋_GB2312" w:hAnsi="仿宋_GB2312" w:eastAsia="仿宋_GB2312" w:cs="仿宋_GB2312"/>
                <w:b w:val="0"/>
                <w:bCs w:val="0"/>
                <w:color w:val="auto"/>
                <w:spacing w:val="-23"/>
                <w:kern w:val="0"/>
                <w:sz w:val="24"/>
                <w:lang w:bidi="ar"/>
              </w:rPr>
              <w:t>1522.27</w:t>
            </w:r>
          </w:p>
        </w:tc>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100%</w:t>
            </w:r>
          </w:p>
        </w:tc>
      </w:tr>
      <w:bookmarkEnd w:id="42"/>
    </w:tbl>
    <w:p>
      <w:pPr>
        <w:keepNext/>
        <w:keepLines/>
        <w:adjustRightInd w:val="0"/>
        <w:snapToGrid w:val="0"/>
        <w:spacing w:before="156" w:beforeLines="50"/>
        <w:jc w:val="center"/>
        <w:rPr>
          <w:rFonts w:eastAsia="仿宋_GB2312"/>
          <w:b/>
          <w:vanish/>
          <w:color w:val="auto"/>
          <w:sz w:val="24"/>
        </w:rPr>
      </w:pPr>
    </w:p>
    <w:p>
      <w:pPr>
        <w:keepNext/>
        <w:keepLines/>
        <w:adjustRightInd w:val="0"/>
        <w:snapToGrid w:val="0"/>
        <w:spacing w:before="156" w:beforeLines="50"/>
        <w:jc w:val="center"/>
        <w:rPr>
          <w:rFonts w:eastAsia="仿宋_GB2312"/>
          <w:b/>
          <w:vanish/>
          <w:color w:val="auto"/>
          <w:sz w:val="24"/>
        </w:rPr>
      </w:pPr>
    </w:p>
    <w:p>
      <w:pPr>
        <w:keepNext/>
        <w:keepLines/>
        <w:adjustRightInd w:val="0"/>
        <w:snapToGrid w:val="0"/>
        <w:spacing w:before="156" w:beforeLines="50"/>
        <w:jc w:val="center"/>
        <w:rPr>
          <w:rFonts w:eastAsia="仿宋_GB2312"/>
          <w:b/>
          <w:vanish/>
          <w:color w:val="auto"/>
          <w:sz w:val="24"/>
        </w:rPr>
      </w:pPr>
    </w:p>
    <w:p>
      <w:pPr>
        <w:keepNext/>
        <w:keepLines/>
        <w:pageBreakBefore w:val="0"/>
        <w:widowControl w:val="0"/>
        <w:kinsoku/>
        <w:wordWrap/>
        <w:overflowPunct/>
        <w:topLinePunct w:val="0"/>
        <w:autoSpaceDE/>
        <w:autoSpaceDN/>
        <w:bidi w:val="0"/>
        <w:adjustRightInd w:val="0"/>
        <w:snapToGrid w:val="0"/>
        <w:spacing w:line="240" w:lineRule="auto"/>
        <w:jc w:val="center"/>
        <w:textAlignment w:val="auto"/>
        <w:rPr>
          <w:rFonts w:eastAsia="仿宋_GB2312"/>
          <w:b w:val="0"/>
          <w:bCs/>
          <w:color w:val="auto"/>
          <w:sz w:val="24"/>
        </w:rPr>
      </w:pPr>
    </w:p>
    <w:p>
      <w:pPr>
        <w:keepNext/>
        <w:keepLines/>
        <w:pageBreakBefore w:val="0"/>
        <w:widowControl w:val="0"/>
        <w:kinsoku/>
        <w:wordWrap/>
        <w:overflowPunct/>
        <w:topLinePunct w:val="0"/>
        <w:autoSpaceDE/>
        <w:autoSpaceDN/>
        <w:bidi w:val="0"/>
        <w:adjustRightInd w:val="0"/>
        <w:snapToGrid w:val="0"/>
        <w:spacing w:line="240" w:lineRule="auto"/>
        <w:jc w:val="center"/>
        <w:textAlignment w:val="auto"/>
        <w:rPr>
          <w:rFonts w:eastAsia="仿宋_GB2312"/>
          <w:b w:val="0"/>
          <w:bCs/>
          <w:color w:val="auto"/>
          <w:sz w:val="24"/>
        </w:rPr>
      </w:pPr>
    </w:p>
    <w:p>
      <w:pPr>
        <w:keepNext/>
        <w:keepLines/>
        <w:pageBreakBefore w:val="0"/>
        <w:widowControl w:val="0"/>
        <w:kinsoku/>
        <w:wordWrap/>
        <w:overflowPunct/>
        <w:topLinePunct w:val="0"/>
        <w:autoSpaceDE/>
        <w:autoSpaceDN/>
        <w:bidi w:val="0"/>
        <w:adjustRightInd w:val="0"/>
        <w:snapToGrid w:val="0"/>
        <w:spacing w:line="240" w:lineRule="auto"/>
        <w:jc w:val="center"/>
        <w:textAlignment w:val="auto"/>
        <w:rPr>
          <w:rFonts w:eastAsia="仿宋_GB2312"/>
          <w:b w:val="0"/>
          <w:bCs/>
          <w:color w:val="auto"/>
          <w:sz w:val="24"/>
        </w:rPr>
        <w:sectPr>
          <w:pgSz w:w="16838" w:h="11906" w:orient="landscape"/>
          <w:pgMar w:top="1587" w:right="2098" w:bottom="1474" w:left="1984" w:header="720" w:footer="1417" w:gutter="0"/>
          <w:pgNumType w:fmt="decimal"/>
          <w:cols w:space="0" w:num="1"/>
          <w:rtlGutter w:val="0"/>
          <w:docGrid w:type="lines" w:linePitch="315" w:charSpace="0"/>
        </w:sectPr>
      </w:pPr>
    </w:p>
    <w:p>
      <w:pPr>
        <w:keepNext/>
        <w:keepLines/>
        <w:pageBreakBefore w:val="0"/>
        <w:widowControl w:val="0"/>
        <w:kinsoku/>
        <w:wordWrap/>
        <w:overflowPunct/>
        <w:topLinePunct w:val="0"/>
        <w:autoSpaceDE/>
        <w:autoSpaceDN/>
        <w:bidi w:val="0"/>
        <w:adjustRightInd w:val="0"/>
        <w:snapToGrid w:val="0"/>
        <w:spacing w:line="240" w:lineRule="auto"/>
        <w:jc w:val="center"/>
        <w:textAlignment w:val="auto"/>
        <w:rPr>
          <w:rFonts w:eastAsia="仿宋_GB2312"/>
          <w:b w:val="0"/>
          <w:bCs/>
          <w:color w:val="auto"/>
          <w:sz w:val="24"/>
        </w:rPr>
      </w:pPr>
    </w:p>
    <w:p>
      <w:pPr>
        <w:keepNext/>
        <w:keepLines/>
        <w:pageBreakBefore w:val="0"/>
        <w:widowControl w:val="0"/>
        <w:kinsoku/>
        <w:wordWrap/>
        <w:overflowPunct/>
        <w:topLinePunct w:val="0"/>
        <w:autoSpaceDE/>
        <w:autoSpaceDN/>
        <w:bidi w:val="0"/>
        <w:adjustRightInd w:val="0"/>
        <w:snapToGrid w:val="0"/>
        <w:spacing w:line="240" w:lineRule="auto"/>
        <w:jc w:val="center"/>
        <w:textAlignment w:val="auto"/>
        <w:rPr>
          <w:rFonts w:eastAsia="仿宋_GB2312"/>
          <w:b/>
          <w:color w:val="auto"/>
          <w:sz w:val="24"/>
        </w:rPr>
      </w:pPr>
      <w:r>
        <w:rPr>
          <w:rFonts w:eastAsia="仿宋_GB2312"/>
          <w:b/>
          <w:color w:val="auto"/>
          <w:sz w:val="24"/>
        </w:rPr>
        <w:t>表</w:t>
      </w:r>
      <w:r>
        <w:rPr>
          <w:rFonts w:hint="eastAsia" w:eastAsia="仿宋_GB2312"/>
          <w:b/>
          <w:color w:val="auto"/>
          <w:sz w:val="24"/>
        </w:rPr>
        <w:t>3-2-5  新兴县</w:t>
      </w:r>
      <w:r>
        <w:rPr>
          <w:rFonts w:eastAsia="仿宋_GB2312"/>
          <w:b/>
          <w:color w:val="auto"/>
          <w:sz w:val="24"/>
        </w:rPr>
        <w:t>公共管理与公共服务用地定级结果表</w:t>
      </w:r>
    </w:p>
    <w:p>
      <w:pPr>
        <w:keepNext/>
        <w:keepLines/>
        <w:adjustRightInd w:val="0"/>
        <w:snapToGrid w:val="0"/>
        <w:jc w:val="right"/>
        <w:rPr>
          <w:rFonts w:eastAsia="仿宋_GB2312"/>
          <w:bCs/>
          <w:color w:val="auto"/>
          <w:sz w:val="24"/>
        </w:rPr>
      </w:pPr>
      <w:r>
        <w:rPr>
          <w:rFonts w:eastAsia="仿宋_GB2312"/>
          <w:bCs/>
          <w:color w:val="auto"/>
          <w:sz w:val="24"/>
        </w:rPr>
        <w:t>单位：平方公里</w:t>
      </w:r>
    </w:p>
    <w:tbl>
      <w:tblPr>
        <w:tblStyle w:val="88"/>
        <w:tblW w:w="12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851"/>
        <w:gridCol w:w="8505"/>
        <w:gridCol w:w="1125"/>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jc w:val="center"/>
        </w:trPr>
        <w:tc>
          <w:tcPr>
            <w:tcW w:w="1005" w:type="dxa"/>
            <w:tcBorders>
              <w:top w:val="single" w:color="auto" w:sz="4" w:space="0"/>
              <w:left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用地</w:t>
            </w:r>
          </w:p>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类型</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w:t>
            </w:r>
          </w:p>
        </w:tc>
        <w:tc>
          <w:tcPr>
            <w:tcW w:w="850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rPr>
            </w:pPr>
            <w:r>
              <w:rPr>
                <w:rFonts w:hint="eastAsia" w:ascii="黑体" w:hAnsi="黑体" w:eastAsia="黑体" w:cs="黑体"/>
                <w:b w:val="0"/>
                <w:bCs/>
                <w:color w:val="auto"/>
                <w:kern w:val="0"/>
                <w:sz w:val="24"/>
                <w:lang w:bidi="ar"/>
              </w:rPr>
              <w:t>级别范围概要描述</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面积</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占总面积</w:t>
            </w:r>
          </w:p>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1005" w:type="dxa"/>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lang w:bidi="ar"/>
              </w:rPr>
              <w:t>公共管理与公共服务用地</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Ⅰ级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hint="eastAsia" w:eastAsia="仿宋_GB2312"/>
                <w:b/>
                <w:bCs/>
                <w:color w:val="auto"/>
                <w:kern w:val="0"/>
                <w:sz w:val="24"/>
              </w:rPr>
              <w:t>城区</w:t>
            </w:r>
            <w:r>
              <w:rPr>
                <w:rFonts w:eastAsia="仿宋_GB2312"/>
                <w:b/>
                <w:bCs/>
                <w:color w:val="auto"/>
                <w:kern w:val="0"/>
                <w:sz w:val="24"/>
              </w:rPr>
              <w:t>：</w:t>
            </w:r>
            <w:r>
              <w:rPr>
                <w:rFonts w:eastAsia="仿宋_GB2312"/>
                <w:color w:val="auto"/>
                <w:kern w:val="0"/>
                <w:sz w:val="24"/>
              </w:rPr>
              <w:t>集成河-广兴大道中-广兴大道西-文建路-规划路-文兴路-碧桂园雅居乐大名府-1期东侧路-二环路西段</w:t>
            </w:r>
            <w:r>
              <w:rPr>
                <w:rFonts w:hint="eastAsia" w:eastAsia="仿宋_GB2312"/>
                <w:color w:val="auto"/>
                <w:kern w:val="0"/>
                <w:sz w:val="24"/>
              </w:rPr>
              <w:t>-</w:t>
            </w:r>
            <w:r>
              <w:rPr>
                <w:rFonts w:eastAsia="仿宋_GB2312"/>
                <w:color w:val="auto"/>
                <w:kern w:val="0"/>
                <w:sz w:val="24"/>
              </w:rPr>
              <w:t>筠州路-育才南路-荔园路</w:t>
            </w:r>
            <w:r>
              <w:rPr>
                <w:rFonts w:hint="eastAsia" w:eastAsia="仿宋_GB2312"/>
                <w:color w:val="auto"/>
                <w:kern w:val="0"/>
                <w:sz w:val="24"/>
              </w:rPr>
              <w:t>；</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2.97 </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Ⅱ级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hint="eastAsia" w:eastAsia="仿宋_GB2312"/>
                <w:b/>
                <w:bCs/>
                <w:color w:val="auto"/>
                <w:kern w:val="0"/>
                <w:sz w:val="24"/>
              </w:rPr>
              <w:t>城区：</w:t>
            </w:r>
            <w:r>
              <w:rPr>
                <w:rFonts w:hint="eastAsia" w:eastAsia="仿宋_GB2312"/>
                <w:color w:val="auto"/>
                <w:kern w:val="0"/>
                <w:sz w:val="24"/>
              </w:rPr>
              <w:t>①规划路-新兴县惠能中学北侧路-筠城翰林春天2期东侧路-城东路-集成河-规划路-共成河-翔兴路-翔顺花园东侧路-翔顺集团综合园区东侧路-规划路-集成河；②集成河-多宝路-万事泰不锈钢制品有限公司西侧路-规划路-兴龙路-平南路-兴业路-规划路-广兴大道西-二环路西段-筠城传奇西侧路-新兴江；</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14.31 </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1" w:hRule="atLeast"/>
          <w:jc w:val="center"/>
        </w:trPr>
        <w:tc>
          <w:tcPr>
            <w:tcW w:w="1005"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Ⅲ级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sz w:val="24"/>
              </w:rPr>
            </w:pPr>
            <w:r>
              <w:rPr>
                <w:rFonts w:hint="eastAsia" w:eastAsia="仿宋_GB2312"/>
                <w:b/>
                <w:bCs/>
                <w:color w:val="auto"/>
                <w:sz w:val="24"/>
              </w:rPr>
              <w:t>城区</w:t>
            </w:r>
            <w:r>
              <w:rPr>
                <w:rFonts w:eastAsia="仿宋_GB2312"/>
                <w:color w:val="auto"/>
                <w:sz w:val="24"/>
              </w:rPr>
              <w:t>：</w:t>
            </w:r>
            <w:r>
              <w:rPr>
                <w:rFonts w:hint="eastAsia" w:eastAsia="仿宋_GB2312"/>
                <w:color w:val="auto"/>
                <w:sz w:val="24"/>
              </w:rPr>
              <w:t>二环北路-规划路-广兴大道东-东瑶村委会南侧路-二环东路-规划路-禅域小镇国樾府西侧路-规划路-二环路西段-金台山智慧公园南侧路-祥利集团有限公司西侧路-广东新合铝业新兴有限公司西侧路-广东筠宏混凝土有限公司西侧路-新兴县厚德五金塑料制品有限公司西侧路-广东建兴混凝土有限公司西侧路-S113-新兴江；</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sz w:val="24"/>
              </w:rPr>
            </w:pPr>
            <w:r>
              <w:rPr>
                <w:rFonts w:eastAsia="仿宋_GB2312"/>
                <w:b/>
                <w:bCs/>
                <w:color w:val="auto"/>
                <w:sz w:val="24"/>
              </w:rPr>
              <w:t>东成镇：</w:t>
            </w:r>
            <w:r>
              <w:rPr>
                <w:rFonts w:eastAsia="仿宋_GB2312"/>
                <w:color w:val="auto"/>
                <w:sz w:val="24"/>
              </w:rPr>
              <w:t>新兴县东成镇威士龙皮具加工厂南侧路</w:t>
            </w:r>
            <w:r>
              <w:rPr>
                <w:rFonts w:hint="eastAsia" w:eastAsia="仿宋_GB2312"/>
                <w:color w:val="auto"/>
                <w:sz w:val="24"/>
              </w:rPr>
              <w:t>-新兴县东成财政所南侧路-东兴皮具配料商行东侧路；</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sz w:val="24"/>
              </w:rPr>
            </w:pPr>
            <w:r>
              <w:rPr>
                <w:rFonts w:eastAsia="仿宋_GB2312"/>
                <w:b/>
                <w:bCs/>
                <w:color w:val="auto"/>
                <w:sz w:val="24"/>
              </w:rPr>
              <w:t>六祖镇：</w:t>
            </w:r>
            <w:r>
              <w:rPr>
                <w:rFonts w:eastAsia="仿宋_GB2312"/>
                <w:color w:val="auto"/>
                <w:sz w:val="24"/>
              </w:rPr>
              <w:t>集成北路</w:t>
            </w:r>
            <w:r>
              <w:rPr>
                <w:rFonts w:hint="eastAsia" w:eastAsia="仿宋_GB2312"/>
                <w:color w:val="auto"/>
                <w:sz w:val="24"/>
              </w:rPr>
              <w:t>-六祖镇人民政府北侧路-佛光路-集新路；</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sz w:val="24"/>
              </w:rPr>
            </w:pPr>
            <w:r>
              <w:rPr>
                <w:rFonts w:eastAsia="仿宋_GB2312"/>
                <w:b/>
                <w:bCs/>
                <w:color w:val="auto"/>
                <w:sz w:val="24"/>
              </w:rPr>
              <w:t>太平镇：</w:t>
            </w:r>
            <w:r>
              <w:rPr>
                <w:rFonts w:eastAsia="仿宋_GB2312"/>
                <w:color w:val="auto"/>
                <w:sz w:val="24"/>
              </w:rPr>
              <w:t>华兴隆皮具厂北侧路-X483</w:t>
            </w:r>
            <w:r>
              <w:rPr>
                <w:rFonts w:hint="eastAsia" w:eastAsia="仿宋_GB2312"/>
                <w:color w:val="auto"/>
                <w:sz w:val="24"/>
              </w:rPr>
              <w:t>；</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33.37</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1" w:hRule="atLeast"/>
          <w:jc w:val="center"/>
        </w:trPr>
        <w:tc>
          <w:tcPr>
            <w:tcW w:w="1005" w:type="dxa"/>
            <w:tcBorders>
              <w:left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b/>
                <w:color w:val="auto"/>
                <w:kern w:val="0"/>
                <w:sz w:val="24"/>
                <w:lang w:bidi="ar"/>
              </w:rPr>
              <w:t>公共管理与公共服务用地</w:t>
            </w:r>
          </w:p>
        </w:tc>
        <w:tc>
          <w:tcPr>
            <w:tcW w:w="85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Ⅳ级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sz w:val="24"/>
              </w:rPr>
            </w:pPr>
            <w:r>
              <w:rPr>
                <w:rFonts w:hint="eastAsia" w:eastAsia="仿宋_GB2312"/>
                <w:b/>
                <w:bCs/>
                <w:color w:val="auto"/>
                <w:sz w:val="24"/>
              </w:rPr>
              <w:t>城区</w:t>
            </w:r>
            <w:r>
              <w:rPr>
                <w:rFonts w:eastAsia="仿宋_GB2312"/>
                <w:b/>
                <w:bCs/>
                <w:color w:val="auto"/>
                <w:sz w:val="24"/>
              </w:rPr>
              <w:t>：</w:t>
            </w:r>
            <w:r>
              <w:rPr>
                <w:rFonts w:eastAsia="仿宋_GB2312"/>
                <w:color w:val="auto"/>
                <w:sz w:val="24"/>
              </w:rPr>
              <w:t>城市规划范围线</w:t>
            </w:r>
            <w:r>
              <w:rPr>
                <w:rFonts w:hint="eastAsia" w:eastAsia="仿宋_GB2312"/>
                <w:color w:val="auto"/>
                <w:sz w:val="24"/>
              </w:rPr>
              <w:t>-深岑高速-广东欧亚家居有限公司西侧路-五楞坑西侧路-平沙村南侧路-城市规划范围线；</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太平镇</w:t>
            </w:r>
            <w:r>
              <w:rPr>
                <w:rFonts w:eastAsia="仿宋_GB2312"/>
                <w:color w:val="auto"/>
                <w:kern w:val="0"/>
                <w:sz w:val="24"/>
              </w:rPr>
              <w:t>：①太平派出所北侧路-太平镇三根榕小学北侧路X483</w:t>
            </w:r>
            <w:r>
              <w:rPr>
                <w:rFonts w:hint="eastAsia" w:eastAsia="仿宋_GB2312"/>
                <w:color w:val="auto"/>
                <w:kern w:val="0"/>
                <w:sz w:val="24"/>
              </w:rPr>
              <w:t>；</w:t>
            </w:r>
            <w:r>
              <w:rPr>
                <w:rFonts w:eastAsia="仿宋_GB2312"/>
                <w:color w:val="auto"/>
                <w:kern w:val="0"/>
                <w:sz w:val="24"/>
              </w:rPr>
              <w:t>②好邻居超市(太平店)</w:t>
            </w:r>
            <w:r>
              <w:rPr>
                <w:rFonts w:hint="eastAsia" w:eastAsia="仿宋_GB2312"/>
                <w:color w:val="auto"/>
                <w:kern w:val="0"/>
                <w:sz w:val="24"/>
              </w:rPr>
              <w:t>东侧路-新祀村-太平镇人民政府北侧路-富伟五金制品有限公司南侧路-新和裕五金制品有限公司东侧路-万利通液化气新兴分公司西侧路-新兴县荣安温氏家禽有限公司南侧路；③共成圩西侧路-X483；</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六祖镇</w:t>
            </w:r>
            <w:r>
              <w:rPr>
                <w:rFonts w:eastAsia="仿宋_GB2312"/>
                <w:color w:val="auto"/>
                <w:kern w:val="0"/>
                <w:sz w:val="24"/>
              </w:rPr>
              <w:t>：①塔脚村委会南侧路-六祖经塔</w:t>
            </w:r>
            <w:r>
              <w:rPr>
                <w:rFonts w:hint="eastAsia" w:eastAsia="仿宋_GB2312"/>
                <w:color w:val="auto"/>
                <w:kern w:val="0"/>
                <w:sz w:val="24"/>
              </w:rPr>
              <w:t>东侧路-国恩寺东侧路-新兴悦和莊酒店南侧路-集成河；②六祖大道-上洞-六祖惠能故居南侧路-佛光路-集成南路-集成北路-集新路-梯山东侧路-养古岗东侧路-新兴县人民法院旅游巡回法庭东侧路-六祖镇新时代文明实践所南侧路；③新兴县明德中学西侧路-新兴农商银行北侧路-新兴农商银行东侧路-六祖卫生院船岗分院北侧路；</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sz w:val="24"/>
              </w:rPr>
              <w:t>东成镇</w:t>
            </w:r>
            <w:r>
              <w:rPr>
                <w:rFonts w:eastAsia="仿宋_GB2312"/>
                <w:color w:val="auto"/>
                <w:sz w:val="24"/>
              </w:rPr>
              <w:t>：</w:t>
            </w:r>
            <w:r>
              <w:rPr>
                <w:rFonts w:eastAsia="仿宋_GB2312"/>
                <w:color w:val="auto"/>
                <w:kern w:val="0"/>
                <w:sz w:val="24"/>
              </w:rPr>
              <w:t>新兴江支流-古院街-东成镇中心小学东侧路-楠村水泥大道庆宁路-X485</w:t>
            </w:r>
            <w:r>
              <w:rPr>
                <w:rFonts w:hint="eastAsia" w:eastAsia="仿宋_GB2312"/>
                <w:color w:val="auto"/>
                <w:kern w:val="0"/>
                <w:sz w:val="24"/>
              </w:rPr>
              <w:t>；</w:t>
            </w: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天堂镇</w:t>
            </w:r>
            <w:r>
              <w:rPr>
                <w:rFonts w:eastAsia="仿宋_GB2312"/>
                <w:color w:val="auto"/>
                <w:kern w:val="0"/>
                <w:sz w:val="24"/>
              </w:rPr>
              <w:t>：解放北路-解放中路-解放南路-建设中路</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车岗镇</w:t>
            </w:r>
            <w:r>
              <w:rPr>
                <w:rFonts w:eastAsia="仿宋_GB2312"/>
                <w:color w:val="auto"/>
                <w:kern w:val="0"/>
                <w:sz w:val="24"/>
              </w:rPr>
              <w:t>：兴隆路-车岗镇人民政府</w:t>
            </w:r>
            <w:r>
              <w:rPr>
                <w:rFonts w:hint="eastAsia" w:eastAsia="仿宋_GB2312"/>
                <w:color w:val="auto"/>
                <w:kern w:val="0"/>
                <w:sz w:val="24"/>
              </w:rPr>
              <w:t>东侧路-兴民路-S276；</w:t>
            </w: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稔村镇</w:t>
            </w:r>
            <w:r>
              <w:rPr>
                <w:rFonts w:eastAsia="仿宋_GB2312"/>
                <w:color w:val="auto"/>
                <w:kern w:val="0"/>
                <w:sz w:val="24"/>
              </w:rPr>
              <w:t>：新街-旧街-文兴路-育才路</w:t>
            </w:r>
            <w:r>
              <w:rPr>
                <w:rFonts w:hint="eastAsia" w:eastAsia="仿宋_GB2312"/>
                <w:color w:val="auto"/>
                <w:kern w:val="0"/>
                <w:sz w:val="24"/>
              </w:rPr>
              <w:t>；</w:t>
            </w: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水台镇</w:t>
            </w:r>
            <w:r>
              <w:rPr>
                <w:rFonts w:eastAsia="仿宋_GB2312"/>
                <w:color w:val="auto"/>
                <w:kern w:val="0"/>
                <w:sz w:val="24"/>
              </w:rPr>
              <w:t>：水台街-水台镇人民政府东侧路-双和公路-金台街</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簕竹镇</w:t>
            </w:r>
            <w:r>
              <w:rPr>
                <w:rFonts w:eastAsia="仿宋_GB2312"/>
                <w:color w:val="auto"/>
                <w:kern w:val="0"/>
                <w:sz w:val="24"/>
              </w:rPr>
              <w:t>：旧街-四组村东侧路-簕竹中心小学西侧路-簕竹教师村北侧路</w:t>
            </w:r>
            <w:r>
              <w:rPr>
                <w:rFonts w:hint="eastAsia" w:eastAsia="仿宋_GB2312"/>
                <w:color w:val="auto"/>
                <w:kern w:val="0"/>
                <w:sz w:val="24"/>
              </w:rPr>
              <w:t>；</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 xml:space="preserve">63.65 </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0" w:hRule="atLeast"/>
          <w:jc w:val="center"/>
        </w:trPr>
        <w:tc>
          <w:tcPr>
            <w:tcW w:w="1005" w:type="dxa"/>
            <w:tcBorders>
              <w:left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b/>
                <w:color w:val="auto"/>
                <w:kern w:val="0"/>
                <w:sz w:val="24"/>
                <w:lang w:bidi="ar"/>
              </w:rPr>
              <w:t>公共管理与公共服务用地</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Ⅴ级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hint="eastAsia" w:eastAsia="仿宋_GB2312"/>
                <w:b/>
                <w:bCs/>
                <w:color w:val="auto"/>
                <w:sz w:val="24"/>
              </w:rPr>
              <w:t>城区</w:t>
            </w:r>
            <w:r>
              <w:rPr>
                <w:rFonts w:eastAsia="仿宋_GB2312"/>
                <w:b/>
                <w:bCs/>
                <w:color w:val="auto"/>
                <w:sz w:val="24"/>
              </w:rPr>
              <w:t>、东成镇、太平镇、六祖镇：</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水</w:t>
            </w:r>
            <w:r>
              <w:rPr>
                <w:rFonts w:hint="eastAsia" w:eastAsia="仿宋_GB2312"/>
                <w:b/>
                <w:bCs/>
                <w:color w:val="auto"/>
                <w:kern w:val="0"/>
                <w:sz w:val="24"/>
              </w:rPr>
              <w:t>台</w:t>
            </w:r>
            <w:r>
              <w:rPr>
                <w:rFonts w:eastAsia="仿宋_GB2312"/>
                <w:b/>
                <w:bCs/>
                <w:color w:val="auto"/>
                <w:kern w:val="0"/>
                <w:sz w:val="24"/>
              </w:rPr>
              <w:t>镇：</w:t>
            </w:r>
            <w:r>
              <w:rPr>
                <w:rFonts w:eastAsia="仿宋_GB2312"/>
                <w:color w:val="auto"/>
                <w:kern w:val="0"/>
                <w:sz w:val="24"/>
              </w:rPr>
              <w:t>①</w:t>
            </w:r>
            <w:r>
              <w:rPr>
                <w:rFonts w:hint="eastAsia" w:eastAsia="仿宋_GB2312"/>
                <w:color w:val="auto"/>
                <w:kern w:val="0"/>
                <w:sz w:val="24"/>
              </w:rPr>
              <w:t>良田工业园；②双和公路-深岑高速-汇远陶瓷展厅(成品仓)南侧路-广东吉源铝业有限公司南侧路-俊建混凝</w:t>
            </w:r>
            <w:r>
              <w:rPr>
                <w:rFonts w:hint="eastAsia" w:eastAsia="仿宋_GB2312"/>
                <w:color w:val="auto"/>
                <w:spacing w:val="-6"/>
                <w:kern w:val="0"/>
                <w:sz w:val="24"/>
              </w:rPr>
              <w:t>土西侧路；③悦天下生态度假区；④广东翔顺金水台温泉小镇；</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簕竹镇</w:t>
            </w:r>
            <w:r>
              <w:rPr>
                <w:rFonts w:eastAsia="仿宋_GB2312"/>
                <w:color w:val="auto"/>
                <w:kern w:val="0"/>
                <w:sz w:val="24"/>
              </w:rPr>
              <w:t>：S113-中化石油加油站(新兴狮子岗站)北侧路-大成木业南侧路-簕竹卫生院</w:t>
            </w:r>
            <w:r>
              <w:rPr>
                <w:rFonts w:hint="eastAsia" w:eastAsia="仿宋_GB2312"/>
                <w:color w:val="auto"/>
                <w:kern w:val="0"/>
                <w:sz w:val="24"/>
              </w:rPr>
              <w:t>东侧路</w:t>
            </w:r>
            <w:r>
              <w:rPr>
                <w:rFonts w:eastAsia="仿宋_GB2312"/>
                <w:color w:val="auto"/>
                <w:kern w:val="0"/>
                <w:sz w:val="24"/>
              </w:rPr>
              <w:t>-</w:t>
            </w:r>
            <w:r>
              <w:rPr>
                <w:rFonts w:hint="eastAsia" w:eastAsia="仿宋_GB2312"/>
                <w:color w:val="auto"/>
                <w:kern w:val="0"/>
                <w:sz w:val="24"/>
              </w:rPr>
              <w:t>旧街-中国教育工会簕竹镇基层委员会南侧路-新兴县簕竹中学东侧路-广东温氏佳润食品有限公司东侧路-谷仓坝西侧路-S113西北侧农田；</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车岗镇：</w:t>
            </w:r>
            <w:r>
              <w:rPr>
                <w:rFonts w:eastAsia="仿宋_GB2312"/>
                <w:color w:val="auto"/>
                <w:kern w:val="0"/>
                <w:sz w:val="24"/>
              </w:rPr>
              <w:t>S276-中国石化东侧路-车岗镇文化广场东侧路-车岗镇中心小学东侧路-府前路-兴隆路-S276-兴民路-车岗中学东侧路-相塘村委会南侧路</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天堂镇：</w:t>
            </w:r>
            <w:r>
              <w:rPr>
                <w:rFonts w:eastAsia="仿宋_GB2312"/>
                <w:color w:val="auto"/>
                <w:kern w:val="0"/>
                <w:sz w:val="24"/>
              </w:rPr>
              <w:t>建安路-S113-中间村民委员会西侧路-大冲口西侧路-蕉根南侧路-新兴碧桂园天御北侧路</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稔村镇：</w:t>
            </w:r>
            <w:r>
              <w:rPr>
                <w:rFonts w:eastAsia="仿宋_GB2312"/>
                <w:color w:val="auto"/>
                <w:kern w:val="0"/>
                <w:sz w:val="24"/>
              </w:rPr>
              <w:t>①S274-新街-新兴县稔村中学北侧路-稔村镇中心小学北侧-姚性坊南侧-文兴路-新街-稔村镇综治中心北侧</w:t>
            </w:r>
            <w:r>
              <w:rPr>
                <w:rFonts w:hint="eastAsia" w:eastAsia="仿宋_GB2312"/>
                <w:color w:val="auto"/>
                <w:kern w:val="0"/>
                <w:sz w:val="24"/>
              </w:rPr>
              <w:t>路；②合和大道-新兴县金玛利陶瓷有限公司东侧路-新兴建兴陶瓷有限公司东侧路-溶洲二厂西侧路；③S274-双阳村南侧路-新兴宏基陶瓷有限公司西侧路；</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486.60</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5" w:hRule="atLeast"/>
          <w:jc w:val="center"/>
        </w:trPr>
        <w:tc>
          <w:tcPr>
            <w:tcW w:w="1005" w:type="dxa"/>
            <w:vMerge w:val="restart"/>
            <w:tcBorders>
              <w:left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b/>
                <w:color w:val="auto"/>
                <w:kern w:val="0"/>
                <w:sz w:val="24"/>
                <w:lang w:bidi="ar"/>
              </w:rPr>
              <w:t>公共管理与公共服务用地</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Ⅵ级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河头镇</w:t>
            </w:r>
            <w:r>
              <w:rPr>
                <w:rFonts w:eastAsia="仿宋_GB2312"/>
                <w:color w:val="auto"/>
                <w:kern w:val="0"/>
                <w:sz w:val="24"/>
              </w:rPr>
              <w:t>：河头街-</w:t>
            </w:r>
            <w:r>
              <w:rPr>
                <w:rFonts w:hint="eastAsia" w:eastAsia="仿宋_GB2312"/>
                <w:color w:val="auto"/>
                <w:kern w:val="0"/>
                <w:sz w:val="24"/>
              </w:rPr>
              <w:t>中国能源加油站(金友站)北侧路-河仔口村委会东侧路-S113-中医馆南侧路-博雅幼儿园西侧路-河头居民委员会北侧路；</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大江镇</w:t>
            </w:r>
            <w:r>
              <w:rPr>
                <w:rFonts w:eastAsia="仿宋_GB2312"/>
                <w:color w:val="auto"/>
                <w:kern w:val="0"/>
                <w:sz w:val="24"/>
              </w:rPr>
              <w:t>：中国南方电网(大江营业厅)</w:t>
            </w:r>
            <w:r>
              <w:rPr>
                <w:rFonts w:hint="eastAsia" w:eastAsia="仿宋_GB2312"/>
                <w:color w:val="auto"/>
                <w:kern w:val="0"/>
                <w:sz w:val="24"/>
              </w:rPr>
              <w:t>北侧路-新兴县大江镇人民政府东侧路-大江圩南侧路；</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color w:val="auto"/>
                <w:kern w:val="0"/>
                <w:sz w:val="24"/>
              </w:rPr>
            </w:pPr>
            <w:r>
              <w:rPr>
                <w:rFonts w:eastAsia="仿宋_GB2312"/>
                <w:b/>
                <w:bCs/>
                <w:color w:val="auto"/>
                <w:kern w:val="0"/>
                <w:sz w:val="24"/>
              </w:rPr>
              <w:t>里洞镇</w:t>
            </w:r>
            <w:r>
              <w:rPr>
                <w:rFonts w:eastAsia="仿宋_GB2312"/>
                <w:color w:val="auto"/>
                <w:kern w:val="0"/>
                <w:sz w:val="24"/>
              </w:rPr>
              <w:t>：龙下北侧路-顺景公寓北侧路-里洞镇政府东侧路-象田南侧路-独田西侧路-区村西侧路-里洞镇中心小学西侧路</w:t>
            </w:r>
            <w:r>
              <w:rPr>
                <w:rFonts w:hint="eastAsia" w:eastAsia="仿宋_GB2312"/>
                <w:color w:val="auto"/>
                <w:kern w:val="0"/>
                <w:sz w:val="24"/>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b/>
                <w:bCs/>
                <w:color w:val="auto"/>
                <w:sz w:val="24"/>
                <w:lang w:bidi="ar"/>
              </w:rPr>
            </w:pPr>
            <w:r>
              <w:rPr>
                <w:rFonts w:eastAsia="仿宋_GB2312"/>
                <w:b/>
                <w:bCs/>
                <w:color w:val="auto"/>
                <w:kern w:val="0"/>
                <w:sz w:val="24"/>
              </w:rPr>
              <w:t>簕竹镇</w:t>
            </w:r>
            <w:r>
              <w:rPr>
                <w:rFonts w:hint="eastAsia" w:eastAsia="仿宋_GB2312"/>
                <w:b/>
                <w:bCs/>
                <w:color w:val="auto"/>
                <w:kern w:val="0"/>
                <w:sz w:val="24"/>
              </w:rPr>
              <w:t>、</w:t>
            </w:r>
            <w:r>
              <w:rPr>
                <w:rFonts w:eastAsia="仿宋_GB2312"/>
                <w:b/>
                <w:bCs/>
                <w:color w:val="auto"/>
                <w:kern w:val="0"/>
                <w:sz w:val="24"/>
              </w:rPr>
              <w:t>天堂镇、车岗镇、稔村镇、水台镇</w:t>
            </w:r>
            <w:r>
              <w:rPr>
                <w:rFonts w:eastAsia="仿宋_GB2312"/>
                <w:color w:val="auto"/>
                <w:kern w:val="0"/>
                <w:sz w:val="24"/>
              </w:rPr>
              <w:t>：</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537.64</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005" w:type="dxa"/>
            <w:vMerge w:val="continue"/>
            <w:tcBorders>
              <w:left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Ⅶ级</w:t>
            </w:r>
          </w:p>
        </w:tc>
        <w:tc>
          <w:tcPr>
            <w:tcW w:w="85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仿宋_GB2312"/>
                <w:b/>
                <w:bCs/>
                <w:color w:val="auto"/>
                <w:kern w:val="0"/>
                <w:sz w:val="24"/>
              </w:rPr>
            </w:pPr>
            <w:r>
              <w:rPr>
                <w:rFonts w:eastAsia="仿宋_GB2312"/>
                <w:b/>
                <w:bCs/>
                <w:color w:val="auto"/>
                <w:kern w:val="0"/>
                <w:sz w:val="24"/>
              </w:rPr>
              <w:t>河头镇、大江镇、里洞镇</w:t>
            </w:r>
            <w:r>
              <w:rPr>
                <w:rFonts w:eastAsia="仿宋_GB2312"/>
                <w:color w:val="auto"/>
                <w:kern w:val="0"/>
                <w:sz w:val="24"/>
              </w:rPr>
              <w:t>：</w:t>
            </w:r>
            <w:r>
              <w:rPr>
                <w:rFonts w:eastAsia="仿宋_GB2312"/>
                <w:color w:val="auto"/>
                <w:sz w:val="24"/>
                <w:lang w:bidi="ar"/>
              </w:rPr>
              <w:t>除上述级别范围外，所有</w:t>
            </w:r>
            <w:r>
              <w:rPr>
                <w:rFonts w:eastAsia="仿宋_GB2312"/>
                <w:color w:val="auto"/>
                <w:kern w:val="0"/>
                <w:sz w:val="24"/>
              </w:rPr>
              <w:t>剩余地块</w:t>
            </w:r>
            <w:r>
              <w:rPr>
                <w:rFonts w:hint="eastAsia" w:eastAsia="仿宋_GB2312"/>
                <w:color w:val="auto"/>
                <w:kern w:val="0"/>
                <w:sz w:val="24"/>
              </w:rPr>
              <w:t>。</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383.73</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05" w:type="dxa"/>
            <w:tcBorders>
              <w:left w:val="single" w:color="auto" w:sz="4" w:space="0"/>
              <w:bottom w:val="single" w:color="auto" w:sz="4" w:space="0"/>
              <w:right w:val="single" w:color="auto" w:sz="4" w:space="0"/>
            </w:tcBorders>
            <w:vAlign w:val="center"/>
          </w:tcPr>
          <w:p>
            <w:pPr>
              <w:adjustRightInd w:val="0"/>
              <w:snapToGrid w:val="0"/>
              <w:spacing w:line="240" w:lineRule="auto"/>
              <w:rPr>
                <w:rFonts w:eastAsia="仿宋_GB2312"/>
                <w:color w:val="auto"/>
                <w:sz w:val="24"/>
              </w:rPr>
            </w:pPr>
          </w:p>
        </w:tc>
        <w:tc>
          <w:tcPr>
            <w:tcW w:w="935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lang w:bidi="ar"/>
              </w:rPr>
              <w:t>合计</w:t>
            </w:r>
          </w:p>
        </w:tc>
        <w:tc>
          <w:tcPr>
            <w:tcW w:w="112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1522.27</w:t>
            </w:r>
          </w:p>
        </w:tc>
        <w:tc>
          <w:tcPr>
            <w:tcW w:w="120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100%</w:t>
            </w:r>
          </w:p>
        </w:tc>
      </w:tr>
    </w:tbl>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p>
    <w:p>
      <w:pPr>
        <w:jc w:val="center"/>
        <w:rPr>
          <w:rFonts w:eastAsia="仿宋_GB2312"/>
          <w:b/>
          <w:color w:val="auto"/>
          <w:sz w:val="24"/>
        </w:rPr>
      </w:pPr>
      <w:r>
        <w:rPr>
          <w:rFonts w:eastAsia="仿宋_GB2312"/>
          <w:b/>
          <w:color w:val="auto"/>
          <w:sz w:val="24"/>
        </w:rPr>
        <w:t>表</w:t>
      </w:r>
      <w:r>
        <w:rPr>
          <w:rFonts w:hint="eastAsia" w:eastAsia="仿宋_GB2312"/>
          <w:b/>
          <w:color w:val="auto"/>
          <w:sz w:val="24"/>
        </w:rPr>
        <w:t>3-2-6  新兴县</w:t>
      </w:r>
      <w:r>
        <w:rPr>
          <w:rFonts w:eastAsia="仿宋_GB2312"/>
          <w:b/>
          <w:color w:val="auto"/>
          <w:sz w:val="24"/>
        </w:rPr>
        <w:t>公用设施用地定级结果表</w:t>
      </w:r>
    </w:p>
    <w:p>
      <w:pPr>
        <w:adjustRightInd w:val="0"/>
        <w:snapToGrid w:val="0"/>
        <w:jc w:val="right"/>
        <w:rPr>
          <w:rFonts w:eastAsia="仿宋_GB2312"/>
          <w:bCs/>
          <w:color w:val="auto"/>
          <w:sz w:val="24"/>
        </w:rPr>
      </w:pPr>
      <w:r>
        <w:rPr>
          <w:rFonts w:eastAsia="仿宋_GB2312"/>
          <w:bCs/>
          <w:color w:val="auto"/>
          <w:sz w:val="24"/>
        </w:rPr>
        <w:t>单位：平方公里</w:t>
      </w:r>
    </w:p>
    <w:tbl>
      <w:tblPr>
        <w:tblStyle w:val="88"/>
        <w:tblW w:w="12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840"/>
        <w:gridCol w:w="8520"/>
        <w:gridCol w:w="115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990" w:type="dxa"/>
            <w:tcBorders>
              <w:top w:val="single" w:color="auto" w:sz="4" w:space="0"/>
              <w:left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用地</w:t>
            </w:r>
          </w:p>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类型</w:t>
            </w: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级别</w:t>
            </w:r>
          </w:p>
        </w:tc>
        <w:tc>
          <w:tcPr>
            <w:tcW w:w="85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rPr>
            </w:pPr>
            <w:r>
              <w:rPr>
                <w:rFonts w:hint="eastAsia" w:ascii="黑体" w:hAnsi="黑体" w:eastAsia="黑体" w:cs="黑体"/>
                <w:b w:val="0"/>
                <w:bCs/>
                <w:color w:val="auto"/>
                <w:kern w:val="0"/>
                <w:sz w:val="24"/>
                <w:lang w:bidi="ar"/>
              </w:rPr>
              <w:t>级别范围概要描述</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面积</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hint="eastAsia" w:ascii="黑体" w:hAnsi="黑体" w:eastAsia="黑体" w:cs="黑体"/>
                <w:b w:val="0"/>
                <w:bCs/>
                <w:color w:val="auto"/>
                <w:kern w:val="0"/>
                <w:sz w:val="24"/>
                <w:lang w:bidi="ar"/>
              </w:rPr>
            </w:pPr>
            <w:r>
              <w:rPr>
                <w:rFonts w:hint="eastAsia" w:ascii="黑体" w:hAnsi="黑体" w:eastAsia="黑体" w:cs="黑体"/>
                <w:b w:val="0"/>
                <w:bCs/>
                <w:color w:val="auto"/>
                <w:kern w:val="0"/>
                <w:sz w:val="24"/>
                <w:lang w:bidi="ar"/>
              </w:rPr>
              <w:t>占总面积比例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990" w:type="dxa"/>
            <w:vMerge w:val="restart"/>
            <w:tcBorders>
              <w:top w:val="single" w:color="auto" w:sz="4" w:space="0"/>
              <w:left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lang w:bidi="ar"/>
              </w:rPr>
              <w:t>公用设施用地</w:t>
            </w: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Ⅰ级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沿江北路-沿江中路-建设南路-南街-环城中路-环城西路-环城北路-州背路-广兴大道中-广兴大道西-文泉路-文华路-升平路-文兴路-育才南路-筠州路；</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2.35</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9"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Ⅱ级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城区：</w:t>
            </w:r>
            <w:r>
              <w:rPr>
                <w:rFonts w:hint="eastAsia" w:ascii="仿宋_GB2312" w:hAnsi="仿宋_GB2312" w:eastAsia="仿宋_GB2312" w:cs="仿宋_GB2312"/>
                <w:color w:val="auto"/>
                <w:kern w:val="0"/>
                <w:sz w:val="24"/>
              </w:rPr>
              <w:t>①规划路-新兴县惠能中学北侧路-筠城翰林春天2期东侧路-城东路-集成河-规划路-共成河-翔兴路-翔顺花园东侧路-翔顺集团综合园区东侧路-规划路-集成河；②集成河-多宝路-万事泰不锈钢制品有限公司西侧路-规划路-兴龙路-平南路-兴业路-规划路-广兴大道西-二环路西段-筠城传奇西侧路-新兴江；</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14.93</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9"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lang w:bidi="ar"/>
              </w:rPr>
              <w:t>Ⅲ级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规划路-新兴县北英实验学校北侧路-规划路-广兴大道东-东瑶村委会南侧路-二环东路-二环路西段-金台山智慧公园南侧路-祥利集团有限公司西侧路-广东新合铝业新兴有限公司西侧路-广东筠宏混凝土有限公司西侧路-新兴县厚德五金塑料制品有限公司西侧路-广东建兴混凝土有限公司西侧路-S113-新兴江；</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新兴县东成镇威士龙皮具加工厂南侧路-新兴县东成财政所南侧路-东兴皮具配料商行东侧路；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六祖镇：</w:t>
            </w:r>
            <w:r>
              <w:rPr>
                <w:rFonts w:hint="eastAsia" w:ascii="仿宋_GB2312" w:hAnsi="仿宋_GB2312" w:eastAsia="仿宋_GB2312" w:cs="仿宋_GB2312"/>
                <w:color w:val="auto"/>
                <w:sz w:val="24"/>
              </w:rPr>
              <w:t>集成北路-六祖镇人民政府北侧路-佛光路-集新路；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lang w:bidi="ar"/>
              </w:rPr>
            </w:pPr>
            <w:r>
              <w:rPr>
                <w:rFonts w:hint="eastAsia" w:ascii="仿宋_GB2312" w:hAnsi="仿宋_GB2312" w:eastAsia="仿宋_GB2312" w:cs="仿宋_GB2312"/>
                <w:b/>
                <w:bCs/>
                <w:color w:val="auto"/>
                <w:sz w:val="24"/>
              </w:rPr>
              <w:t>太平镇：</w:t>
            </w:r>
            <w:r>
              <w:rPr>
                <w:rFonts w:hint="eastAsia" w:ascii="仿宋_GB2312" w:hAnsi="仿宋_GB2312" w:eastAsia="仿宋_GB2312" w:cs="仿宋_GB2312"/>
                <w:color w:val="auto"/>
                <w:sz w:val="24"/>
              </w:rPr>
              <w:t>华兴隆皮具厂北侧路-X483；</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31.32</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8"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rPr>
              <w:t>Ⅳ级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sz w:val="24"/>
              </w:rPr>
              <w:t>城区：</w:t>
            </w:r>
            <w:r>
              <w:rPr>
                <w:rFonts w:hint="eastAsia" w:ascii="仿宋_GB2312" w:hAnsi="仿宋_GB2312" w:eastAsia="仿宋_GB2312" w:cs="仿宋_GB2312"/>
                <w:color w:val="auto"/>
                <w:sz w:val="24"/>
              </w:rPr>
              <w:t>城市规划范围线-深岑高速-广东欧亚家居有限公司西侧路-五楞坑西侧路-平沙村南侧路-城市规划范围线；</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太平镇</w:t>
            </w:r>
            <w:r>
              <w:rPr>
                <w:rFonts w:hint="eastAsia" w:ascii="仿宋_GB2312" w:hAnsi="仿宋_GB2312" w:eastAsia="仿宋_GB2312" w:cs="仿宋_GB2312"/>
                <w:color w:val="auto"/>
                <w:kern w:val="0"/>
                <w:sz w:val="24"/>
              </w:rPr>
              <w:t>：①太平派出所北侧路-太平镇三根榕小学北侧路X483；②好邻居超市(太平店)东侧路-新祀村-太平镇人民政府北侧路-富伟五金制品有限公司南侧路-新和裕五金制品有限公司东侧路-万利通液化气新兴分公司西侧路-新兴县荣安温氏家禽有限公司南侧路；③共成圩西侧路-X483；</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六祖镇</w:t>
            </w:r>
            <w:r>
              <w:rPr>
                <w:rFonts w:hint="eastAsia" w:ascii="仿宋_GB2312" w:hAnsi="仿宋_GB2312" w:eastAsia="仿宋_GB2312" w:cs="仿宋_GB2312"/>
                <w:color w:val="auto"/>
                <w:kern w:val="0"/>
                <w:sz w:val="24"/>
              </w:rPr>
              <w:t>：①塔脚村委会南侧路-六祖经塔东侧路-国恩寺东侧路-新兴悦和莊酒店南侧路-集成河；②六祖大道-上洞-六祖惠能故居南侧路-佛光路-集成南路-集成北路-集新路-梯山东侧路-养古岗东侧路-新兴县人民法院旅游巡回法庭东侧路-六祖镇新时代文明实践所南侧路；③新兴县明德中学西侧路-新兴农商银行北侧路-新兴农商银行东侧路-六祖卫生院船岗分院北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sz w:val="24"/>
              </w:rPr>
              <w:t>东成镇</w:t>
            </w:r>
            <w:r>
              <w:rPr>
                <w:rFonts w:hint="eastAsia" w:ascii="仿宋_GB2312" w:hAnsi="仿宋_GB2312" w:eastAsia="仿宋_GB2312" w:cs="仿宋_GB2312"/>
                <w:color w:val="auto"/>
                <w:sz w:val="24"/>
              </w:rPr>
              <w:t>：</w:t>
            </w:r>
            <w:r>
              <w:rPr>
                <w:rFonts w:hint="eastAsia" w:ascii="仿宋_GB2312" w:hAnsi="仿宋_GB2312" w:eastAsia="仿宋_GB2312" w:cs="仿宋_GB2312"/>
                <w:color w:val="auto"/>
                <w:kern w:val="0"/>
                <w:sz w:val="24"/>
              </w:rPr>
              <w:t>新兴江支流-古院街-东成镇中心小学东侧路-楠村水泥大道庆宁路-X485；</w:t>
            </w:r>
          </w:p>
          <w:p>
            <w:pPr>
              <w:keepNext w:val="0"/>
              <w:keepLines w:val="0"/>
              <w:pageBreakBefore w:val="0"/>
              <w:widowControl/>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：解放北路-解放中路-解放南路-建设中路；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：兴隆路-车岗镇人民政府东侧路-兴民路-S276；</w:t>
            </w:r>
          </w:p>
          <w:p>
            <w:pPr>
              <w:keepNext w:val="0"/>
              <w:keepLines w:val="0"/>
              <w:pageBreakBefore w:val="0"/>
              <w:widowControl/>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稔村镇</w:t>
            </w:r>
            <w:r>
              <w:rPr>
                <w:rFonts w:hint="eastAsia" w:ascii="仿宋_GB2312" w:hAnsi="仿宋_GB2312" w:eastAsia="仿宋_GB2312" w:cs="仿宋_GB2312"/>
                <w:color w:val="auto"/>
                <w:kern w:val="0"/>
                <w:sz w:val="24"/>
              </w:rPr>
              <w:t>：新街-旧街-文兴路-育才路；</w:t>
            </w:r>
          </w:p>
          <w:p>
            <w:pPr>
              <w:keepNext w:val="0"/>
              <w:keepLines w:val="0"/>
              <w:pageBreakBefore w:val="0"/>
              <w:widowControl/>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水台镇</w:t>
            </w:r>
            <w:r>
              <w:rPr>
                <w:rFonts w:hint="eastAsia" w:ascii="仿宋_GB2312" w:hAnsi="仿宋_GB2312" w:eastAsia="仿宋_GB2312" w:cs="仿宋_GB2312"/>
                <w:color w:val="auto"/>
                <w:kern w:val="0"/>
                <w:sz w:val="24"/>
              </w:rPr>
              <w:t>：水台街-水台镇人民政府东侧路-双和公路-金台街；</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b/>
                <w:bCs/>
                <w:color w:val="auto"/>
                <w:sz w:val="24"/>
                <w:lang w:bidi="ar"/>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：旧街-四组村东侧路-簕竹中心小学西侧路-簕竹教师村北侧路；</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65.70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8"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Ⅴ级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sz w:val="24"/>
              </w:rPr>
              <w:t>城区、东成镇、太平镇、六祖镇：</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水台镇：</w:t>
            </w:r>
            <w:r>
              <w:rPr>
                <w:rFonts w:hint="eastAsia" w:ascii="仿宋_GB2312" w:hAnsi="仿宋_GB2312" w:eastAsia="仿宋_GB2312" w:cs="仿宋_GB2312"/>
                <w:color w:val="auto"/>
                <w:kern w:val="0"/>
                <w:sz w:val="24"/>
              </w:rPr>
              <w:t>①良田工业园；②双和公路-深岑高速-汇远陶瓷展厅(成品仓)南侧路-广东吉源铝业有限公司南侧路-俊建混凝土西侧路；③悦天下生态度假区；④广东翔顺金水台温泉小镇；</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簕竹镇</w:t>
            </w:r>
            <w:r>
              <w:rPr>
                <w:rFonts w:hint="eastAsia" w:ascii="仿宋_GB2312" w:hAnsi="仿宋_GB2312" w:eastAsia="仿宋_GB2312" w:cs="仿宋_GB2312"/>
                <w:color w:val="auto"/>
                <w:kern w:val="0"/>
                <w:sz w:val="24"/>
              </w:rPr>
              <w:t>：S113-中化石油加油站(新兴狮子岗站)北侧路-大成木业南侧路-簕竹卫生院东侧路-旧街-中国教育工会簕竹镇基层委员会南侧路-新兴县簕竹中学东侧路-广东温氏佳润食品有限公司东侧路-谷仓坝西侧路-S113西北侧农田；</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车岗镇：</w:t>
            </w:r>
            <w:r>
              <w:rPr>
                <w:rFonts w:hint="eastAsia" w:ascii="仿宋_GB2312" w:hAnsi="仿宋_GB2312" w:eastAsia="仿宋_GB2312" w:cs="仿宋_GB2312"/>
                <w:color w:val="auto"/>
                <w:kern w:val="0"/>
                <w:sz w:val="24"/>
              </w:rPr>
              <w:t>S276-中国石化东侧路-车岗镇文化广场东侧路-车岗镇中心小学东侧路-府前路-兴隆路-S276-兴民路-车岗中学东侧路-相塘村委会南侧路；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天堂镇：</w:t>
            </w:r>
            <w:r>
              <w:rPr>
                <w:rFonts w:hint="eastAsia" w:ascii="仿宋_GB2312" w:hAnsi="仿宋_GB2312" w:eastAsia="仿宋_GB2312" w:cs="仿宋_GB2312"/>
                <w:color w:val="auto"/>
                <w:kern w:val="0"/>
                <w:sz w:val="24"/>
              </w:rPr>
              <w:t>建安路-S113-中间村民委员会西侧路-大冲口西侧路-蕉根南侧路-新兴碧桂园天御北侧路；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b/>
                <w:bCs/>
                <w:color w:val="auto"/>
                <w:kern w:val="0"/>
                <w:sz w:val="24"/>
              </w:rPr>
              <w:t>稔村镇：</w:t>
            </w:r>
            <w:r>
              <w:rPr>
                <w:rFonts w:hint="eastAsia" w:ascii="仿宋_GB2312" w:hAnsi="仿宋_GB2312" w:eastAsia="仿宋_GB2312" w:cs="仿宋_GB2312"/>
                <w:color w:val="auto"/>
                <w:kern w:val="0"/>
                <w:sz w:val="24"/>
              </w:rPr>
              <w:t>①S274-新街-新兴县稔村中学北侧路-稔村镇中心小学北侧-姚性坊南侧-文兴路-新街-稔村镇综治中心北侧路；②合和大道-新兴县金玛利陶瓷有限公司东侧路-新兴建兴陶瓷有限公司东侧路-溶洲二厂西侧路；③S274-双阳村南侧路-新兴宏基陶瓷有限公司西侧路；</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486.60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1"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lang w:bidi="ar"/>
              </w:rPr>
            </w:pPr>
            <w:r>
              <w:rPr>
                <w:rFonts w:eastAsia="仿宋_GB2312"/>
                <w:b w:val="0"/>
                <w:bCs/>
                <w:color w:val="auto"/>
                <w:kern w:val="0"/>
                <w:sz w:val="24"/>
              </w:rPr>
              <w:t>Ⅵ级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河头镇</w:t>
            </w:r>
            <w:r>
              <w:rPr>
                <w:rFonts w:hint="eastAsia" w:ascii="仿宋_GB2312" w:hAnsi="仿宋_GB2312" w:eastAsia="仿宋_GB2312" w:cs="仿宋_GB2312"/>
                <w:color w:val="auto"/>
                <w:kern w:val="0"/>
                <w:sz w:val="24"/>
              </w:rPr>
              <w:t>：河头街-中国能源加油站(金友站)北侧路-河仔口村委会东侧路-S113-中医馆南侧路-博雅幼儿园西侧路-河头居民委员会北侧路；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大江镇</w:t>
            </w:r>
            <w:r>
              <w:rPr>
                <w:rFonts w:hint="eastAsia" w:ascii="仿宋_GB2312" w:hAnsi="仿宋_GB2312" w:eastAsia="仿宋_GB2312" w:cs="仿宋_GB2312"/>
                <w:color w:val="auto"/>
                <w:kern w:val="0"/>
                <w:sz w:val="24"/>
              </w:rPr>
              <w:t>：中国南方电网(大江营业厅)北侧路-新兴县大江镇人民政府东侧路-大江圩南侧路；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里洞镇</w:t>
            </w:r>
            <w:r>
              <w:rPr>
                <w:rFonts w:hint="eastAsia" w:ascii="仿宋_GB2312" w:hAnsi="仿宋_GB2312" w:eastAsia="仿宋_GB2312" w:cs="仿宋_GB2312"/>
                <w:color w:val="auto"/>
                <w:kern w:val="0"/>
                <w:sz w:val="24"/>
              </w:rPr>
              <w:t>：龙下北侧路-顺景公寓北侧路-里洞镇政府东侧路-象田南侧路-独田西侧路-区村西侧路-里洞镇中心小学西侧路；</w:t>
            </w:r>
          </w:p>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b/>
                <w:bCs/>
                <w:color w:val="auto"/>
                <w:sz w:val="24"/>
                <w:lang w:bidi="ar"/>
              </w:rPr>
            </w:pPr>
            <w:r>
              <w:rPr>
                <w:rFonts w:hint="eastAsia" w:ascii="仿宋_GB2312" w:hAnsi="仿宋_GB2312" w:eastAsia="仿宋_GB2312" w:cs="仿宋_GB2312"/>
                <w:b/>
                <w:bCs/>
                <w:color w:val="auto"/>
                <w:kern w:val="0"/>
                <w:sz w:val="24"/>
              </w:rPr>
              <w:t>簕竹镇、天堂镇、车岗镇、稔村镇、水台镇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537.64</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90" w:type="dxa"/>
            <w:vMerge w:val="continue"/>
            <w:tcBorders>
              <w:left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84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jc w:val="center"/>
              <w:rPr>
                <w:rFonts w:eastAsia="仿宋_GB2312"/>
                <w:b w:val="0"/>
                <w:bCs/>
                <w:color w:val="auto"/>
                <w:kern w:val="0"/>
                <w:sz w:val="24"/>
              </w:rPr>
            </w:pPr>
            <w:r>
              <w:rPr>
                <w:rFonts w:eastAsia="仿宋_GB2312"/>
                <w:b w:val="0"/>
                <w:bCs/>
                <w:color w:val="auto"/>
                <w:kern w:val="0"/>
                <w:sz w:val="24"/>
              </w:rPr>
              <w:t>Ⅶ级</w:t>
            </w:r>
          </w:p>
        </w:tc>
        <w:tc>
          <w:tcPr>
            <w:tcW w:w="8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河头镇、大江镇、里洞镇</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sz w:val="24"/>
                <w:lang w:bidi="ar"/>
              </w:rPr>
              <w:t>除上述级别范围外，所有</w:t>
            </w:r>
            <w:r>
              <w:rPr>
                <w:rFonts w:hint="eastAsia" w:ascii="仿宋_GB2312" w:hAnsi="仿宋_GB2312" w:eastAsia="仿宋_GB2312" w:cs="仿宋_GB2312"/>
                <w:color w:val="auto"/>
                <w:kern w:val="0"/>
                <w:sz w:val="24"/>
              </w:rPr>
              <w:t>剩余地块。</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383.73</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kern w:val="0"/>
                <w:sz w:val="24"/>
                <w:lang w:bidi="ar"/>
              </w:rPr>
            </w:pPr>
            <w:r>
              <w:rPr>
                <w:rFonts w:hint="eastAsia" w:ascii="仿宋_GB2312" w:hAnsi="仿宋_GB2312" w:eastAsia="仿宋_GB2312" w:cs="仿宋_GB2312"/>
                <w:b w:val="0"/>
                <w:bCs w:val="0"/>
                <w:color w:val="auto"/>
                <w:kern w:val="0"/>
                <w:sz w:val="24"/>
                <w:lang w:bidi="ar"/>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tcBorders>
              <w:left w:val="single" w:color="auto" w:sz="4" w:space="0"/>
              <w:bottom w:val="single" w:color="auto" w:sz="4" w:space="0"/>
              <w:right w:val="single" w:color="auto" w:sz="4" w:space="0"/>
            </w:tcBorders>
          </w:tcPr>
          <w:p>
            <w:pPr>
              <w:adjustRightInd w:val="0"/>
              <w:snapToGrid w:val="0"/>
              <w:spacing w:line="240" w:lineRule="auto"/>
              <w:rPr>
                <w:rFonts w:eastAsia="仿宋_GB2312"/>
                <w:color w:val="auto"/>
                <w:sz w:val="24"/>
                <w:highlight w:val="yellow"/>
              </w:rPr>
            </w:pPr>
          </w:p>
        </w:tc>
        <w:tc>
          <w:tcPr>
            <w:tcW w:w="936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lang w:bidi="ar"/>
              </w:rPr>
            </w:pPr>
            <w:r>
              <w:rPr>
                <w:rFonts w:eastAsia="仿宋_GB2312"/>
                <w:b/>
                <w:bCs/>
                <w:color w:val="auto"/>
                <w:kern w:val="0"/>
                <w:sz w:val="24"/>
                <w:lang w:bidi="ar"/>
              </w:rPr>
              <w:t>合计</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kern w:val="0"/>
                <w:sz w:val="24"/>
                <w:lang w:bidi="ar"/>
              </w:rPr>
              <w:t>1522.27</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kern w:val="0"/>
                <w:sz w:val="24"/>
                <w:lang w:bidi="ar"/>
              </w:rPr>
              <w:t>100%</w:t>
            </w:r>
          </w:p>
        </w:tc>
      </w:tr>
      <w:bookmarkEnd w:id="37"/>
    </w:tbl>
    <w:p>
      <w:pPr>
        <w:widowControl/>
        <w:spacing w:line="240" w:lineRule="auto"/>
        <w:jc w:val="left"/>
        <w:rPr>
          <w:rFonts w:eastAsia="仿宋_GB2312"/>
          <w:b/>
          <w:color w:val="auto"/>
          <w:sz w:val="24"/>
        </w:rPr>
      </w:pPr>
    </w:p>
    <w:p>
      <w:pPr>
        <w:widowControl/>
        <w:spacing w:line="240" w:lineRule="auto"/>
        <w:jc w:val="left"/>
        <w:rPr>
          <w:rFonts w:eastAsia="仿宋_GB2312"/>
          <w:b/>
          <w:color w:val="auto"/>
          <w:sz w:val="24"/>
        </w:rPr>
        <w:sectPr>
          <w:pgSz w:w="16838" w:h="11906" w:orient="landscape"/>
          <w:pgMar w:top="1587" w:right="2098" w:bottom="1474" w:left="1984" w:header="720" w:footer="1417" w:gutter="0"/>
          <w:pgNumType w:fmt="decimal"/>
          <w:cols w:space="0" w:num="1"/>
          <w:rtlGutter w:val="0"/>
          <w:docGrid w:type="lines" w:linePitch="315" w:charSpace="0"/>
        </w:sect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43" w:name="_Toc214265654"/>
      <w:r>
        <w:rPr>
          <w:rFonts w:hint="eastAsia" w:ascii="楷体_GB2312" w:hAnsi="楷体_GB2312" w:eastAsia="楷体_GB2312" w:cs="楷体_GB2312"/>
          <w:b w:val="0"/>
          <w:bCs w:val="0"/>
          <w:color w:val="auto"/>
          <w:kern w:val="0"/>
          <w:sz w:val="32"/>
          <w:szCs w:val="32"/>
        </w:rPr>
        <w:t>（三）各镇级别基准地价</w:t>
      </w:r>
      <w:bookmarkEnd w:id="43"/>
    </w:p>
    <w:p>
      <w:pPr>
        <w:adjustRightInd w:val="0"/>
        <w:snapToGrid w:val="0"/>
        <w:spacing w:line="312" w:lineRule="auto"/>
        <w:jc w:val="center"/>
        <w:rPr>
          <w:rFonts w:hint="eastAsia" w:eastAsia="仿宋_GB2312"/>
          <w:b/>
          <w:color w:val="auto"/>
          <w:sz w:val="24"/>
        </w:rPr>
      </w:pPr>
    </w:p>
    <w:p>
      <w:pPr>
        <w:adjustRightInd w:val="0"/>
        <w:snapToGrid w:val="0"/>
        <w:spacing w:line="312" w:lineRule="auto"/>
        <w:jc w:val="center"/>
        <w:rPr>
          <w:rFonts w:eastAsia="仿宋_GB2312"/>
          <w:b/>
          <w:color w:val="auto"/>
          <w:sz w:val="24"/>
        </w:rPr>
      </w:pPr>
      <w:r>
        <w:rPr>
          <w:rFonts w:hint="eastAsia" w:eastAsia="仿宋_GB2312"/>
          <w:b/>
          <w:color w:val="auto"/>
          <w:sz w:val="24"/>
        </w:rPr>
        <w:t>表3-3-1 新兴县2025年国有建设用地各镇级别基准地价结果表</w:t>
      </w:r>
    </w:p>
    <w:tbl>
      <w:tblPr>
        <w:tblStyle w:val="88"/>
        <w:tblW w:w="15336" w:type="dxa"/>
        <w:jc w:val="center"/>
        <w:tblLayout w:type="fixed"/>
        <w:tblCellMar>
          <w:top w:w="0" w:type="dxa"/>
          <w:left w:w="108" w:type="dxa"/>
          <w:bottom w:w="0" w:type="dxa"/>
          <w:right w:w="108" w:type="dxa"/>
        </w:tblCellMar>
      </w:tblPr>
      <w:tblGrid>
        <w:gridCol w:w="915"/>
        <w:gridCol w:w="705"/>
        <w:gridCol w:w="820"/>
        <w:gridCol w:w="841"/>
        <w:gridCol w:w="843"/>
        <w:gridCol w:w="700"/>
        <w:gridCol w:w="841"/>
        <w:gridCol w:w="840"/>
        <w:gridCol w:w="844"/>
        <w:gridCol w:w="699"/>
        <w:gridCol w:w="841"/>
        <w:gridCol w:w="841"/>
        <w:gridCol w:w="700"/>
        <w:gridCol w:w="841"/>
        <w:gridCol w:w="840"/>
        <w:gridCol w:w="844"/>
        <w:gridCol w:w="699"/>
        <w:gridCol w:w="841"/>
        <w:gridCol w:w="841"/>
      </w:tblGrid>
      <w:tr>
        <w:tblPrEx>
          <w:tblCellMar>
            <w:top w:w="0" w:type="dxa"/>
            <w:left w:w="108" w:type="dxa"/>
            <w:bottom w:w="0" w:type="dxa"/>
            <w:right w:w="108" w:type="dxa"/>
          </w:tblCellMar>
        </w:tblPrEx>
        <w:trPr>
          <w:trHeight w:val="523" w:hRule="atLeast"/>
          <w:tblHeader/>
          <w:jc w:val="center"/>
        </w:trPr>
        <w:tc>
          <w:tcPr>
            <w:tcW w:w="915"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color w:val="auto"/>
                <w:kern w:val="0"/>
                <w:sz w:val="22"/>
                <w:szCs w:val="22"/>
              </w:rPr>
            </w:pPr>
            <w:r>
              <w:rPr>
                <w:rFonts w:hint="eastAsia" w:eastAsia="仿宋_GB2312" w:cs="宋体"/>
                <w:b/>
                <w:color w:val="auto"/>
                <w:kern w:val="0"/>
                <w:sz w:val="22"/>
                <w:szCs w:val="22"/>
              </w:rPr>
              <w:t>用途</w:t>
            </w:r>
          </w:p>
          <w:p>
            <w:pPr>
              <w:adjustRightInd w:val="0"/>
              <w:snapToGrid w:val="0"/>
              <w:spacing w:line="240" w:lineRule="auto"/>
              <w:jc w:val="center"/>
              <w:rPr>
                <w:rFonts w:eastAsia="仿宋_GB2312" w:cs="宋体"/>
                <w:b/>
                <w:color w:val="auto"/>
                <w:kern w:val="0"/>
                <w:sz w:val="22"/>
                <w:szCs w:val="22"/>
              </w:rPr>
            </w:pPr>
          </w:p>
          <w:p>
            <w:pPr>
              <w:adjustRightInd w:val="0"/>
              <w:snapToGrid w:val="0"/>
              <w:spacing w:line="240" w:lineRule="auto"/>
              <w:jc w:val="center"/>
              <w:rPr>
                <w:rFonts w:eastAsia="仿宋_GB2312" w:cs="宋体"/>
                <w:b/>
                <w:color w:val="auto"/>
                <w:kern w:val="0"/>
                <w:sz w:val="22"/>
                <w:szCs w:val="22"/>
              </w:rPr>
            </w:pPr>
          </w:p>
          <w:p>
            <w:pPr>
              <w:adjustRightInd w:val="0"/>
              <w:snapToGrid w:val="0"/>
              <w:spacing w:line="240" w:lineRule="auto"/>
              <w:rPr>
                <w:rFonts w:hint="eastAsia" w:eastAsia="仿宋_GB2312" w:cs="宋体"/>
                <w:b/>
                <w:color w:val="auto"/>
                <w:kern w:val="0"/>
                <w:sz w:val="22"/>
                <w:szCs w:val="22"/>
                <w:lang w:val="en-US" w:eastAsia="zh-CN"/>
              </w:rPr>
            </w:pPr>
            <w:r>
              <w:rPr>
                <w:rFonts w:hint="eastAsia" w:eastAsia="仿宋_GB2312" w:cs="宋体"/>
                <w:b/>
                <w:color w:val="auto"/>
                <w:kern w:val="0"/>
                <w:sz w:val="22"/>
                <w:szCs w:val="22"/>
              </w:rPr>
              <w:t>镇名</w:t>
            </w:r>
            <w:r>
              <w:rPr>
                <w:rFonts w:hint="eastAsia" w:eastAsia="仿宋_GB2312" w:cs="宋体"/>
                <w:b/>
                <w:color w:val="auto"/>
                <w:kern w:val="0"/>
                <w:sz w:val="22"/>
                <w:szCs w:val="22"/>
                <w:lang w:val="en-US" w:eastAsia="zh-CN"/>
              </w:rPr>
              <w:t xml:space="preserve"> </w:t>
            </w:r>
          </w:p>
        </w:tc>
        <w:tc>
          <w:tcPr>
            <w:tcW w:w="705"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级别</w:t>
            </w:r>
          </w:p>
        </w:tc>
        <w:tc>
          <w:tcPr>
            <w:tcW w:w="2504"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商服用地</w:t>
            </w:r>
          </w:p>
        </w:tc>
        <w:tc>
          <w:tcPr>
            <w:tcW w:w="700"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级别</w:t>
            </w:r>
          </w:p>
        </w:tc>
        <w:tc>
          <w:tcPr>
            <w:tcW w:w="2525"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住宅用地</w:t>
            </w:r>
          </w:p>
        </w:tc>
        <w:tc>
          <w:tcPr>
            <w:tcW w:w="699"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级别</w:t>
            </w:r>
          </w:p>
        </w:tc>
        <w:tc>
          <w:tcPr>
            <w:tcW w:w="1682"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工业用地</w:t>
            </w:r>
          </w:p>
        </w:tc>
        <w:tc>
          <w:tcPr>
            <w:tcW w:w="700"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级别</w:t>
            </w:r>
          </w:p>
        </w:tc>
        <w:tc>
          <w:tcPr>
            <w:tcW w:w="2525"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spacing w:val="-11"/>
                <w:kern w:val="0"/>
                <w:sz w:val="22"/>
                <w:szCs w:val="22"/>
              </w:rPr>
              <w:t>公共管理与公共服务用地</w:t>
            </w:r>
          </w:p>
        </w:tc>
        <w:tc>
          <w:tcPr>
            <w:tcW w:w="699"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级别</w:t>
            </w:r>
          </w:p>
        </w:tc>
        <w:tc>
          <w:tcPr>
            <w:tcW w:w="1682"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公用设施用地</w:t>
            </w:r>
          </w:p>
        </w:tc>
      </w:tr>
      <w:tr>
        <w:tblPrEx>
          <w:tblCellMar>
            <w:top w:w="0" w:type="dxa"/>
            <w:left w:w="108" w:type="dxa"/>
            <w:bottom w:w="0" w:type="dxa"/>
            <w:right w:w="108" w:type="dxa"/>
          </w:tblCellMar>
        </w:tblPrEx>
        <w:trPr>
          <w:trHeight w:val="698" w:hRule="atLeast"/>
          <w:tblHeader/>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snapToGrid w:val="0"/>
                <w:color w:val="auto"/>
                <w:spacing w:val="-20"/>
                <w:kern w:val="0"/>
                <w:sz w:val="22"/>
                <w:szCs w:val="22"/>
              </w:rPr>
            </w:pPr>
            <w:r>
              <w:rPr>
                <w:rFonts w:hint="eastAsia" w:eastAsia="仿宋_GB2312" w:cs="宋体"/>
                <w:b/>
                <w:snapToGrid w:val="0"/>
                <w:color w:val="auto"/>
                <w:spacing w:val="-20"/>
                <w:kern w:val="0"/>
                <w:sz w:val="22"/>
                <w:szCs w:val="22"/>
              </w:rPr>
              <w:t>平均楼面地价</w:t>
            </w:r>
          </w:p>
        </w:tc>
        <w:tc>
          <w:tcPr>
            <w:tcW w:w="16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地面地价</w:t>
            </w:r>
          </w:p>
        </w:tc>
        <w:tc>
          <w:tcPr>
            <w:tcW w:w="70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snapToGrid w:val="0"/>
                <w:color w:val="auto"/>
                <w:spacing w:val="-20"/>
                <w:kern w:val="0"/>
                <w:sz w:val="22"/>
                <w:szCs w:val="22"/>
              </w:rPr>
            </w:pPr>
            <w:r>
              <w:rPr>
                <w:rFonts w:hint="eastAsia" w:eastAsia="仿宋_GB2312" w:cs="宋体"/>
                <w:b/>
                <w:snapToGrid w:val="0"/>
                <w:color w:val="auto"/>
                <w:spacing w:val="-20"/>
                <w:kern w:val="0"/>
                <w:sz w:val="22"/>
                <w:szCs w:val="22"/>
              </w:rPr>
              <w:t>平均楼面地价</w:t>
            </w:r>
          </w:p>
        </w:tc>
        <w:tc>
          <w:tcPr>
            <w:tcW w:w="16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地面地价</w:t>
            </w:r>
          </w:p>
        </w:tc>
        <w:tc>
          <w:tcPr>
            <w:tcW w:w="69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1682"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地面地价</w:t>
            </w:r>
          </w:p>
        </w:tc>
        <w:tc>
          <w:tcPr>
            <w:tcW w:w="70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snapToGrid w:val="0"/>
                <w:color w:val="auto"/>
                <w:spacing w:val="-20"/>
                <w:kern w:val="0"/>
                <w:sz w:val="22"/>
                <w:szCs w:val="22"/>
              </w:rPr>
            </w:pPr>
            <w:r>
              <w:rPr>
                <w:rFonts w:hint="eastAsia" w:eastAsia="仿宋_GB2312" w:cs="宋体"/>
                <w:b/>
                <w:snapToGrid w:val="0"/>
                <w:color w:val="auto"/>
                <w:spacing w:val="-20"/>
                <w:kern w:val="0"/>
                <w:sz w:val="22"/>
                <w:szCs w:val="22"/>
              </w:rPr>
              <w:t>平均楼面地价</w:t>
            </w:r>
          </w:p>
        </w:tc>
        <w:tc>
          <w:tcPr>
            <w:tcW w:w="16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地面地价</w:t>
            </w:r>
          </w:p>
        </w:tc>
        <w:tc>
          <w:tcPr>
            <w:tcW w:w="69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1682"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地面地价</w:t>
            </w:r>
          </w:p>
        </w:tc>
      </w:tr>
      <w:tr>
        <w:tblPrEx>
          <w:tblCellMar>
            <w:top w:w="0" w:type="dxa"/>
            <w:left w:w="108" w:type="dxa"/>
            <w:bottom w:w="0" w:type="dxa"/>
            <w:right w:w="108" w:type="dxa"/>
          </w:tblCellMar>
        </w:tblPrEx>
        <w:trPr>
          <w:trHeight w:val="698" w:hRule="atLeast"/>
          <w:tblHeader/>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万元/亩</w:t>
            </w:r>
          </w:p>
        </w:tc>
        <w:tc>
          <w:tcPr>
            <w:tcW w:w="70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万元/亩</w:t>
            </w:r>
          </w:p>
        </w:tc>
        <w:tc>
          <w:tcPr>
            <w:tcW w:w="69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万元/亩</w:t>
            </w:r>
          </w:p>
        </w:tc>
        <w:tc>
          <w:tcPr>
            <w:tcW w:w="70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万元/亩</w:t>
            </w:r>
          </w:p>
        </w:tc>
        <w:tc>
          <w:tcPr>
            <w:tcW w:w="69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元/平方米</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万元/亩</w:t>
            </w:r>
          </w:p>
        </w:tc>
      </w:tr>
      <w:tr>
        <w:tblPrEx>
          <w:tblCellMar>
            <w:top w:w="0" w:type="dxa"/>
            <w:left w:w="108" w:type="dxa"/>
            <w:bottom w:w="0" w:type="dxa"/>
            <w:right w:w="108" w:type="dxa"/>
          </w:tblCellMar>
        </w:tblPrEx>
        <w:trPr>
          <w:trHeight w:val="429" w:hRule="atLeast"/>
          <w:jc w:val="center"/>
        </w:trPr>
        <w:tc>
          <w:tcPr>
            <w:tcW w:w="915"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六祖镇</w:t>
            </w:r>
          </w:p>
          <w:p>
            <w:pPr>
              <w:adjustRightInd w:val="0"/>
              <w:snapToGrid w:val="0"/>
              <w:spacing w:line="240" w:lineRule="auto"/>
              <w:jc w:val="center"/>
              <w:rPr>
                <w:rFonts w:eastAsia="仿宋_GB2312" w:cs="宋体"/>
                <w:b/>
                <w:color w:val="auto"/>
                <w:kern w:val="0"/>
                <w:sz w:val="22"/>
                <w:szCs w:val="22"/>
              </w:rPr>
            </w:pPr>
            <w:r>
              <w:rPr>
                <w:rFonts w:eastAsia="仿宋_GB2312" w:cs="宋体"/>
                <w:b/>
                <w:color w:val="auto"/>
                <w:kern w:val="0"/>
                <w:sz w:val="22"/>
                <w:szCs w:val="22"/>
              </w:rPr>
              <w:t>东成镇</w:t>
            </w:r>
          </w:p>
          <w:p>
            <w:pPr>
              <w:adjustRightInd w:val="0"/>
              <w:snapToGrid w:val="0"/>
              <w:spacing w:line="240" w:lineRule="auto"/>
              <w:jc w:val="center"/>
              <w:rPr>
                <w:rFonts w:eastAsia="仿宋_GB2312" w:cs="宋体"/>
                <w:b/>
                <w:color w:val="auto"/>
                <w:kern w:val="0"/>
                <w:sz w:val="22"/>
                <w:szCs w:val="22"/>
              </w:rPr>
            </w:pPr>
            <w:r>
              <w:rPr>
                <w:rFonts w:eastAsia="仿宋_GB2312" w:cs="宋体"/>
                <w:b/>
                <w:color w:val="auto"/>
                <w:kern w:val="0"/>
                <w:sz w:val="22"/>
                <w:szCs w:val="22"/>
              </w:rPr>
              <w:t>太平镇</w:t>
            </w: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630</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1260</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84.00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sz w:val="22"/>
                <w:szCs w:val="22"/>
              </w:rPr>
            </w:pPr>
            <w:r>
              <w:rPr>
                <w:rFonts w:hint="eastAsia" w:eastAsia="仿宋_GB2312"/>
                <w:color w:val="auto"/>
                <w:sz w:val="22"/>
                <w:szCs w:val="22"/>
              </w:rPr>
              <w:t>594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eastAsia="仿宋_GB2312"/>
                <w:color w:val="auto"/>
                <w:sz w:val="22"/>
                <w:szCs w:val="22"/>
              </w:rPr>
              <w:t>1</w:t>
            </w:r>
            <w:r>
              <w:rPr>
                <w:rFonts w:hint="eastAsia" w:eastAsia="仿宋_GB2312"/>
                <w:color w:val="auto"/>
                <w:sz w:val="22"/>
                <w:szCs w:val="22"/>
              </w:rPr>
              <w:t>188</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79</w:t>
            </w:r>
            <w:r>
              <w:rPr>
                <w:rFonts w:eastAsia="仿宋_GB2312"/>
                <w:color w:val="auto"/>
                <w:sz w:val="22"/>
                <w:szCs w:val="22"/>
              </w:rPr>
              <w:t>.20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Ⅲ级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492</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32.80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Ⅲ级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330</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495</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33.00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Ⅲ级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411</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27.4</w:t>
            </w:r>
            <w:r>
              <w:rPr>
                <w:rFonts w:eastAsia="仿宋_GB2312"/>
                <w:color w:val="auto"/>
                <w:sz w:val="22"/>
                <w:szCs w:val="22"/>
              </w:rPr>
              <w:t>0</w:t>
            </w:r>
          </w:p>
        </w:tc>
      </w:tr>
      <w:tr>
        <w:tblPrEx>
          <w:tblCellMar>
            <w:top w:w="0" w:type="dxa"/>
            <w:left w:w="108" w:type="dxa"/>
            <w:bottom w:w="0" w:type="dxa"/>
            <w:right w:w="108" w:type="dxa"/>
          </w:tblCellMar>
        </w:tblPrEx>
        <w:trPr>
          <w:trHeight w:val="429"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432</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864</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57.6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417</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834</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55.6</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315</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21.0</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366</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24.4</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297</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19.8</w:t>
            </w:r>
            <w:r>
              <w:rPr>
                <w:rFonts w:eastAsia="仿宋_GB2312"/>
                <w:color w:val="auto"/>
                <w:sz w:val="22"/>
                <w:szCs w:val="22"/>
              </w:rPr>
              <w:t>0</w:t>
            </w:r>
          </w:p>
        </w:tc>
      </w:tr>
      <w:tr>
        <w:tblPrEx>
          <w:tblCellMar>
            <w:top w:w="0" w:type="dxa"/>
            <w:left w:w="108" w:type="dxa"/>
            <w:bottom w:w="0" w:type="dxa"/>
            <w:right w:w="108" w:type="dxa"/>
          </w:tblCellMar>
        </w:tblPrEx>
        <w:trPr>
          <w:trHeight w:val="429"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327</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654</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43.6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58</w:t>
            </w:r>
            <w:r>
              <w:rPr>
                <w:rFonts w:eastAsia="仿宋_GB2312"/>
                <w:color w:val="auto"/>
                <w:sz w:val="22"/>
                <w:szCs w:val="22"/>
              </w:rPr>
              <w:t>8</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39</w:t>
            </w:r>
            <w:r>
              <w:rPr>
                <w:rFonts w:eastAsia="仿宋_GB2312"/>
                <w:color w:val="auto"/>
                <w:sz w:val="22"/>
                <w:szCs w:val="22"/>
              </w:rPr>
              <w:t>.20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252</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16.8</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190</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285</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w:t>
            </w:r>
            <w:r>
              <w:rPr>
                <w:rFonts w:eastAsia="仿宋_GB2312"/>
                <w:color w:val="auto"/>
                <w:sz w:val="22"/>
                <w:szCs w:val="22"/>
              </w:rPr>
              <w:t>.00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234</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15.6</w:t>
            </w:r>
            <w:r>
              <w:rPr>
                <w:rFonts w:eastAsia="仿宋_GB2312"/>
                <w:color w:val="auto"/>
                <w:sz w:val="22"/>
                <w:szCs w:val="22"/>
              </w:rPr>
              <w:t>0</w:t>
            </w:r>
          </w:p>
        </w:tc>
      </w:tr>
      <w:tr>
        <w:tblPrEx>
          <w:tblCellMar>
            <w:top w:w="0" w:type="dxa"/>
            <w:left w:w="108" w:type="dxa"/>
            <w:bottom w:w="0" w:type="dxa"/>
            <w:right w:w="108" w:type="dxa"/>
          </w:tblCellMar>
        </w:tblPrEx>
        <w:trPr>
          <w:trHeight w:val="695" w:hRule="atLeast"/>
          <w:jc w:val="center"/>
        </w:trPr>
        <w:tc>
          <w:tcPr>
            <w:tcW w:w="915"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天堂镇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车岗镇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水台镇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稔村镇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簕竹镇</w:t>
            </w: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432</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864</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57.6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417</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834</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55.6</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315</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21.0</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366</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24.4</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Ⅳ级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297</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19.8</w:t>
            </w:r>
            <w:r>
              <w:rPr>
                <w:rFonts w:eastAsia="仿宋_GB2312"/>
                <w:color w:val="auto"/>
                <w:sz w:val="22"/>
                <w:szCs w:val="22"/>
              </w:rPr>
              <w:t>0</w:t>
            </w:r>
          </w:p>
        </w:tc>
      </w:tr>
      <w:tr>
        <w:tblPrEx>
          <w:tblCellMar>
            <w:top w:w="0" w:type="dxa"/>
            <w:left w:w="108" w:type="dxa"/>
            <w:bottom w:w="0" w:type="dxa"/>
            <w:right w:w="108" w:type="dxa"/>
          </w:tblCellMar>
        </w:tblPrEx>
        <w:trPr>
          <w:trHeight w:val="695"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327</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654</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43.6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w:t>
            </w:r>
            <w:r>
              <w:rPr>
                <w:rFonts w:eastAsia="仿宋_GB2312"/>
                <w:color w:val="auto"/>
                <w:sz w:val="22"/>
                <w:szCs w:val="22"/>
              </w:rPr>
              <w:t>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58</w:t>
            </w:r>
            <w:r>
              <w:rPr>
                <w:rFonts w:eastAsia="仿宋_GB2312"/>
                <w:color w:val="auto"/>
                <w:sz w:val="22"/>
                <w:szCs w:val="22"/>
              </w:rPr>
              <w:t>8</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39</w:t>
            </w:r>
            <w:r>
              <w:rPr>
                <w:rFonts w:eastAsia="仿宋_GB2312"/>
                <w:color w:val="auto"/>
                <w:sz w:val="22"/>
                <w:szCs w:val="22"/>
              </w:rPr>
              <w:t>.20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252</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16.8</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190</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285</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19</w:t>
            </w:r>
            <w:r>
              <w:rPr>
                <w:rFonts w:eastAsia="仿宋_GB2312"/>
                <w:color w:val="auto"/>
                <w:sz w:val="22"/>
                <w:szCs w:val="22"/>
              </w:rPr>
              <w:t>.00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Ⅴ级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234</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15.6</w:t>
            </w:r>
            <w:r>
              <w:rPr>
                <w:rFonts w:eastAsia="仿宋_GB2312"/>
                <w:color w:val="auto"/>
                <w:sz w:val="22"/>
                <w:szCs w:val="22"/>
              </w:rPr>
              <w:t>0</w:t>
            </w:r>
          </w:p>
        </w:tc>
      </w:tr>
      <w:tr>
        <w:tblPrEx>
          <w:tblCellMar>
            <w:top w:w="0" w:type="dxa"/>
            <w:left w:w="108" w:type="dxa"/>
            <w:bottom w:w="0" w:type="dxa"/>
            <w:right w:w="108" w:type="dxa"/>
          </w:tblCellMar>
        </w:tblPrEx>
        <w:trPr>
          <w:trHeight w:val="695"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Ⅷ级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240</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480</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32.0</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222</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444</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29.6</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219</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14.6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246</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16.4</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201</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13.4</w:t>
            </w:r>
            <w:r>
              <w:rPr>
                <w:rFonts w:eastAsia="仿宋_GB2312"/>
                <w:color w:val="auto"/>
                <w:sz w:val="22"/>
                <w:szCs w:val="22"/>
              </w:rPr>
              <w:t>0</w:t>
            </w:r>
          </w:p>
        </w:tc>
      </w:tr>
      <w:tr>
        <w:tblPrEx>
          <w:tblCellMar>
            <w:top w:w="0" w:type="dxa"/>
            <w:left w:w="108" w:type="dxa"/>
            <w:bottom w:w="0" w:type="dxa"/>
            <w:right w:w="108" w:type="dxa"/>
          </w:tblCellMar>
        </w:tblPrEx>
        <w:trPr>
          <w:trHeight w:val="529" w:hRule="atLeast"/>
          <w:jc w:val="center"/>
        </w:trPr>
        <w:tc>
          <w:tcPr>
            <w:tcW w:w="915"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河头镇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里洞镇</w:t>
            </w:r>
          </w:p>
          <w:p>
            <w:pPr>
              <w:adjustRightInd w:val="0"/>
              <w:snapToGrid w:val="0"/>
              <w:spacing w:line="240" w:lineRule="auto"/>
              <w:jc w:val="center"/>
              <w:rPr>
                <w:rFonts w:eastAsia="仿宋_GB2312" w:cs="宋体"/>
                <w:b/>
                <w:color w:val="auto"/>
                <w:kern w:val="0"/>
                <w:sz w:val="22"/>
                <w:szCs w:val="22"/>
              </w:rPr>
            </w:pPr>
            <w:r>
              <w:rPr>
                <w:rFonts w:hint="eastAsia" w:eastAsia="仿宋_GB2312" w:cs="宋体"/>
                <w:b/>
                <w:color w:val="auto"/>
                <w:kern w:val="0"/>
                <w:sz w:val="22"/>
                <w:szCs w:val="22"/>
              </w:rPr>
              <w:t>大江镇</w:t>
            </w: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Ⅷ级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240</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480</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32.0</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222</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444</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29.6</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219</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14.6</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164</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246</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16.4</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Ⅵ级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201</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13.4</w:t>
            </w:r>
            <w:r>
              <w:rPr>
                <w:rFonts w:eastAsia="仿宋_GB2312"/>
                <w:color w:val="auto"/>
                <w:sz w:val="22"/>
                <w:szCs w:val="22"/>
              </w:rPr>
              <w:t>0</w:t>
            </w:r>
          </w:p>
        </w:tc>
      </w:tr>
      <w:tr>
        <w:tblPrEx>
          <w:tblCellMar>
            <w:top w:w="0" w:type="dxa"/>
            <w:left w:w="108" w:type="dxa"/>
            <w:bottom w:w="0" w:type="dxa"/>
            <w:right w:w="108" w:type="dxa"/>
          </w:tblCellMar>
        </w:tblPrEx>
        <w:trPr>
          <w:trHeight w:val="561"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kern w:val="0"/>
                <w:sz w:val="22"/>
                <w:szCs w:val="22"/>
              </w:rPr>
            </w:pPr>
          </w:p>
        </w:tc>
        <w:tc>
          <w:tcPr>
            <w:tcW w:w="70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Ⅸ级</w:t>
            </w:r>
          </w:p>
        </w:tc>
        <w:tc>
          <w:tcPr>
            <w:tcW w:w="8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171</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342</w:t>
            </w:r>
          </w:p>
        </w:tc>
        <w:tc>
          <w:tcPr>
            <w:tcW w:w="84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22.8</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Ⅷ级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159</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kern w:val="0"/>
                <w:sz w:val="22"/>
                <w:szCs w:val="22"/>
              </w:rPr>
              <w:t>318</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21.2</w:t>
            </w:r>
            <w:r>
              <w:rPr>
                <w:rFonts w:eastAsia="仿宋_GB2312"/>
                <w:color w:val="auto"/>
                <w:sz w:val="22"/>
                <w:szCs w:val="22"/>
              </w:rPr>
              <w:t>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168</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11.2</w:t>
            </w:r>
            <w:r>
              <w:rPr>
                <w:rFonts w:eastAsia="仿宋_GB2312"/>
                <w:color w:val="auto"/>
                <w:sz w:val="22"/>
                <w:szCs w:val="22"/>
              </w:rPr>
              <w:t>0</w:t>
            </w:r>
          </w:p>
        </w:tc>
        <w:tc>
          <w:tcPr>
            <w:tcW w:w="7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140</w:t>
            </w:r>
          </w:p>
        </w:tc>
        <w:tc>
          <w:tcPr>
            <w:tcW w:w="84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210</w:t>
            </w:r>
          </w:p>
        </w:tc>
        <w:tc>
          <w:tcPr>
            <w:tcW w:w="84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14</w:t>
            </w:r>
            <w:r>
              <w:rPr>
                <w:rFonts w:eastAsia="仿宋_GB2312"/>
                <w:color w:val="auto"/>
                <w:sz w:val="22"/>
                <w:szCs w:val="22"/>
              </w:rPr>
              <w:t>.00</w:t>
            </w:r>
          </w:p>
        </w:tc>
        <w:tc>
          <w:tcPr>
            <w:tcW w:w="699"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b/>
                <w:color w:val="auto"/>
                <w:kern w:val="0"/>
                <w:sz w:val="22"/>
                <w:szCs w:val="22"/>
              </w:rPr>
            </w:pPr>
            <w:r>
              <w:rPr>
                <w:rFonts w:hint="eastAsia" w:ascii="仿宋_GB2312" w:eastAsia="仿宋_GB2312"/>
                <w:b/>
                <w:bCs/>
                <w:color w:val="auto"/>
                <w:sz w:val="22"/>
                <w:szCs w:val="22"/>
              </w:rPr>
              <w:t>Ⅶ级</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165</w:t>
            </w:r>
          </w:p>
        </w:tc>
        <w:tc>
          <w:tcPr>
            <w:tcW w:w="841"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olor w:val="auto"/>
                <w:kern w:val="0"/>
                <w:sz w:val="22"/>
                <w:szCs w:val="22"/>
              </w:rPr>
            </w:pPr>
            <w:r>
              <w:rPr>
                <w:rFonts w:hint="eastAsia" w:eastAsia="仿宋_GB2312"/>
                <w:color w:val="auto"/>
                <w:sz w:val="22"/>
                <w:szCs w:val="22"/>
              </w:rPr>
              <w:t>11</w:t>
            </w:r>
            <w:r>
              <w:rPr>
                <w:rFonts w:eastAsia="仿宋_GB2312"/>
                <w:color w:val="auto"/>
                <w:sz w:val="22"/>
                <w:szCs w:val="22"/>
              </w:rPr>
              <w:t>.00</w:t>
            </w:r>
          </w:p>
        </w:tc>
      </w:tr>
    </w:tbl>
    <w:p>
      <w:pPr>
        <w:widowControl/>
        <w:spacing w:line="240" w:lineRule="auto"/>
        <w:jc w:val="left"/>
        <w:rPr>
          <w:rFonts w:eastAsia="仿宋_GB2312"/>
          <w:b/>
          <w:color w:val="auto"/>
          <w:sz w:val="24"/>
        </w:rPr>
      </w:pPr>
    </w:p>
    <w:p>
      <w:pPr>
        <w:widowControl/>
        <w:spacing w:line="240" w:lineRule="auto"/>
        <w:jc w:val="left"/>
        <w:rPr>
          <w:rFonts w:eastAsia="仿宋_GB2312"/>
          <w:b/>
          <w:color w:val="auto"/>
          <w:sz w:val="24"/>
        </w:rPr>
        <w:sectPr>
          <w:pgSz w:w="16838" w:h="11906" w:orient="landscape"/>
          <w:pgMar w:top="1803" w:right="1440" w:bottom="1803" w:left="1440" w:header="720" w:footer="1417" w:gutter="0"/>
          <w:pgNumType w:fmt="decimal"/>
          <w:cols w:space="0" w:num="1"/>
          <w:rtlGutter w:val="0"/>
          <w:docGrid w:type="lines" w:linePitch="312" w:charSpace="0"/>
        </w:sectPr>
      </w:pPr>
      <w:r>
        <w:rPr>
          <w:rFonts w:eastAsia="仿宋_GB2312"/>
          <w:b/>
          <w:color w:val="auto"/>
          <w:sz w:val="24"/>
        </w:rPr>
        <w:br w:type="page"/>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outlineLvl w:val="1"/>
        <w:rPr>
          <w:rFonts w:eastAsia="黑体"/>
          <w:b w:val="0"/>
          <w:bCs w:val="0"/>
          <w:color w:val="auto"/>
          <w:kern w:val="0"/>
          <w:sz w:val="32"/>
          <w:szCs w:val="32"/>
        </w:rPr>
      </w:pPr>
      <w:bookmarkStart w:id="44" w:name="_Toc190436702"/>
      <w:bookmarkStart w:id="45" w:name="_Toc17919651"/>
      <w:bookmarkStart w:id="46" w:name="_Toc214265656"/>
      <w:r>
        <w:rPr>
          <w:rFonts w:hint="eastAsia" w:eastAsia="黑体"/>
          <w:b w:val="0"/>
          <w:bCs w:val="0"/>
          <w:color w:val="auto"/>
          <w:kern w:val="0"/>
          <w:sz w:val="32"/>
          <w:szCs w:val="32"/>
        </w:rPr>
        <w:t>四、</w:t>
      </w:r>
      <w:r>
        <w:rPr>
          <w:rFonts w:eastAsia="黑体"/>
          <w:b w:val="0"/>
          <w:bCs w:val="0"/>
          <w:color w:val="auto"/>
          <w:kern w:val="0"/>
          <w:sz w:val="32"/>
          <w:szCs w:val="32"/>
        </w:rPr>
        <w:t>基准地价修正体系</w:t>
      </w:r>
      <w:bookmarkEnd w:id="44"/>
      <w:bookmarkEnd w:id="45"/>
      <w:bookmarkEnd w:id="4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47" w:name="_Toc214265657"/>
      <w:r>
        <w:rPr>
          <w:rFonts w:hint="eastAsia" w:ascii="楷体_GB2312" w:hAnsi="楷体_GB2312" w:eastAsia="楷体_GB2312" w:cs="楷体_GB2312"/>
          <w:b w:val="0"/>
          <w:bCs w:val="0"/>
          <w:color w:val="auto"/>
          <w:kern w:val="0"/>
          <w:sz w:val="32"/>
          <w:szCs w:val="32"/>
        </w:rPr>
        <w:t>（一）商服用地基准地价修正体系</w:t>
      </w:r>
      <w:bookmarkEnd w:id="47"/>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新兴县商服用地基准地价修正体系包括区域因素修正、容积率修正、楼层修正、剩余使用年期修正、期日修正、临路条件修正、临街类型修正、个别因素修正、土地开发程度修正</w:t>
      </w:r>
      <w:bookmarkStart w:id="48" w:name="_Hlk187670466"/>
      <w:r>
        <w:rPr>
          <w:rFonts w:hint="eastAsia" w:ascii="仿宋_GB2312" w:hAnsi="仿宋_GB2312" w:eastAsia="仿宋_GB2312" w:cs="仿宋_GB2312"/>
          <w:b w:val="0"/>
          <w:bCs w:val="0"/>
          <w:color w:val="auto"/>
          <w:kern w:val="0"/>
          <w:sz w:val="32"/>
          <w:szCs w:val="32"/>
        </w:rPr>
        <w:t>及二级用地类型修正等</w:t>
      </w:r>
      <w:bookmarkEnd w:id="48"/>
      <w:r>
        <w:rPr>
          <w:rFonts w:hint="eastAsia" w:ascii="仿宋_GB2312" w:hAnsi="仿宋_GB2312" w:eastAsia="仿宋_GB2312" w:cs="仿宋_GB2312"/>
          <w:b w:val="0"/>
          <w:bCs w:val="0"/>
          <w:color w:val="auto"/>
          <w:kern w:val="0"/>
          <w:sz w:val="32"/>
          <w:szCs w:val="32"/>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2"/>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1</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计算公式</w:t>
      </w:r>
    </w:p>
    <w:p>
      <w:pPr>
        <w:keepNext w:val="0"/>
        <w:keepLines w:val="0"/>
        <w:pageBreakBefore w:val="0"/>
        <w:widowControl w:val="0"/>
        <w:kinsoku/>
        <w:wordWrap/>
        <w:overflowPunct/>
        <w:topLinePunct w:val="0"/>
        <w:bidi w:val="0"/>
        <w:adjustRightInd w:val="0"/>
        <w:snapToGrid w:val="0"/>
        <w:spacing w:line="560" w:lineRule="exact"/>
        <w:textAlignment w:val="auto"/>
        <w:rPr>
          <w:rFonts w:eastAsia="仿宋_GB2312"/>
          <w:color w:val="auto"/>
          <w:sz w:val="28"/>
        </w:rPr>
      </w:pPr>
      <w:r>
        <w:rPr>
          <w:rFonts w:eastAsia="仿宋_GB2312"/>
          <w:color w:val="auto"/>
          <w:sz w:val="28"/>
        </w:rPr>
        <w:t>待开发项目：</w:t>
      </w:r>
      <w:r>
        <w:rPr>
          <w:rFonts w:eastAsia="仿宋_GB2312"/>
          <w:i/>
          <w:color w:val="auto"/>
          <w:sz w:val="28"/>
          <w:szCs w:val="28"/>
        </w:rPr>
        <w:t>P</w:t>
      </w:r>
      <w:r>
        <w:rPr>
          <w:rFonts w:eastAsia="仿宋_GB2312"/>
          <w:i/>
          <w:color w:val="auto"/>
          <w:sz w:val="28"/>
          <w:szCs w:val="28"/>
          <w:vertAlign w:val="subscript"/>
        </w:rPr>
        <w:t>开</w:t>
      </w:r>
      <w:r>
        <w:rPr>
          <w:rFonts w:eastAsia="仿宋_GB2312"/>
          <w:i/>
          <w:color w:val="auto"/>
          <w:sz w:val="28"/>
          <w:szCs w:val="28"/>
        </w:rPr>
        <w:t>＝P</w:t>
      </w:r>
      <w:r>
        <w:rPr>
          <w:rFonts w:eastAsia="仿宋_GB2312"/>
          <w:i/>
          <w:color w:val="auto"/>
          <w:sz w:val="28"/>
          <w:szCs w:val="28"/>
          <w:vertAlign w:val="subscript"/>
        </w:rPr>
        <w:t>楼</w:t>
      </w:r>
      <w:r>
        <w:rPr>
          <w:rFonts w:eastAsia="仿宋_GB2312"/>
          <w:color w:val="auto"/>
          <w:sz w:val="28"/>
          <w:szCs w:val="28"/>
        </w:rPr>
        <w:t>×</w:t>
      </w:r>
      <w:r>
        <w:rPr>
          <w:rFonts w:eastAsia="仿宋_GB2312"/>
          <w:i/>
          <w:color w:val="auto"/>
          <w:sz w:val="28"/>
          <w:szCs w:val="28"/>
        </w:rPr>
        <w:t>K</w:t>
      </w:r>
      <w:r>
        <w:rPr>
          <w:rFonts w:eastAsia="仿宋_GB2312"/>
          <w:i/>
          <w:color w:val="auto"/>
          <w:sz w:val="28"/>
          <w:szCs w:val="28"/>
          <w:vertAlign w:val="subscript"/>
        </w:rPr>
        <w:t>t</w:t>
      </w:r>
      <w:r>
        <w:rPr>
          <w:rFonts w:eastAsia="仿宋_GB2312"/>
          <w:i/>
          <w:color w:val="auto"/>
          <w:sz w:val="28"/>
          <w:szCs w:val="28"/>
        </w:rPr>
        <w:t>×（1+</w:t>
      </w:r>
      <m:oMath>
        <m:nary>
          <m:naryPr>
            <m:chr m:val="∑"/>
            <m:limLoc m:val="undOvr"/>
            <m:ctrlPr>
              <w:rPr>
                <w:rFonts w:ascii="Cambria Math" w:hAnsi="Cambria Math" w:eastAsia="仿宋_GB2312"/>
                <w:color w:val="auto"/>
                <w:sz w:val="28"/>
                <w:szCs w:val="28"/>
                <w:vertAlign w:val="subscript"/>
              </w:rPr>
            </m:ctrlPr>
          </m:naryPr>
          <m:sub>
            <m:r>
              <m:rPr/>
              <w:rPr>
                <w:rFonts w:ascii="Cambria Math" w:hAnsi="Cambria Math" w:eastAsia="仿宋_GB2312"/>
                <w:color w:val="auto"/>
                <w:sz w:val="28"/>
                <w:szCs w:val="28"/>
                <w:vertAlign w:val="subscript"/>
              </w:rPr>
              <m:t>i=1</m:t>
            </m:r>
            <m:ctrlPr>
              <w:rPr>
                <w:rFonts w:ascii="Cambria Math" w:hAnsi="Cambria Math" w:eastAsia="仿宋_GB2312"/>
                <w:color w:val="auto"/>
                <w:sz w:val="28"/>
                <w:szCs w:val="28"/>
                <w:vertAlign w:val="subscript"/>
              </w:rPr>
            </m:ctrlPr>
          </m:sub>
          <m:sup>
            <m:r>
              <m:rPr/>
              <w:rPr>
                <w:rFonts w:ascii="Cambria Math" w:hAnsi="Cambria Math" w:eastAsia="仿宋_GB2312"/>
                <w:color w:val="auto"/>
                <w:sz w:val="28"/>
                <w:szCs w:val="28"/>
                <w:vertAlign w:val="subscript"/>
              </w:rPr>
              <m:t>n</m:t>
            </m:r>
            <m:ctrlPr>
              <w:rPr>
                <w:rFonts w:ascii="Cambria Math" w:hAnsi="Cambria Math" w:eastAsia="仿宋_GB2312"/>
                <w:color w:val="auto"/>
                <w:sz w:val="28"/>
                <w:szCs w:val="28"/>
                <w:vertAlign w:val="subscript"/>
              </w:rPr>
            </m:ctrlPr>
          </m:sup>
          <m:e>
            <m:sSub>
              <m:sSubPr>
                <m:ctrlPr>
                  <w:rPr>
                    <w:rFonts w:ascii="Cambria Math" w:hAnsi="Cambria Math" w:eastAsia="仿宋_GB2312"/>
                    <w:i/>
                    <w:color w:val="auto"/>
                    <w:sz w:val="28"/>
                    <w:szCs w:val="28"/>
                  </w:rPr>
                </m:ctrlPr>
              </m:sSubPr>
              <m:e>
                <m:r>
                  <m:rPr/>
                  <w:rPr>
                    <w:rFonts w:ascii="Cambria Math" w:hAnsi="Cambria Math" w:eastAsia="仿宋_GB2312"/>
                    <w:color w:val="auto"/>
                    <w:sz w:val="28"/>
                    <w:szCs w:val="28"/>
                  </w:rPr>
                  <m:t>K</m:t>
                </m:r>
                <m:ctrlPr>
                  <w:rPr>
                    <w:rFonts w:ascii="Cambria Math" w:hAnsi="Cambria Math" w:eastAsia="仿宋_GB2312"/>
                    <w:i/>
                    <w:color w:val="auto"/>
                    <w:sz w:val="28"/>
                    <w:szCs w:val="28"/>
                  </w:rPr>
                </m:ctrlPr>
              </m:e>
              <m:sub>
                <m:r>
                  <m:rPr/>
                  <w:rPr>
                    <w:rFonts w:ascii="Cambria Math" w:hAnsi="Cambria Math" w:eastAsia="仿宋_GB2312"/>
                    <w:color w:val="auto"/>
                    <w:sz w:val="28"/>
                    <w:szCs w:val="28"/>
                  </w:rPr>
                  <m:t>i</m:t>
                </m:r>
                <m:ctrlPr>
                  <w:rPr>
                    <w:rFonts w:ascii="Cambria Math" w:hAnsi="Cambria Math" w:eastAsia="仿宋_GB2312"/>
                    <w:i/>
                    <w:color w:val="auto"/>
                    <w:sz w:val="28"/>
                    <w:szCs w:val="28"/>
                  </w:rPr>
                </m:ctrlPr>
              </m:sub>
            </m:sSub>
            <m:ctrlPr>
              <w:rPr>
                <w:rFonts w:ascii="Cambria Math" w:hAnsi="Cambria Math" w:eastAsia="仿宋_GB2312"/>
                <w:color w:val="auto"/>
                <w:sz w:val="28"/>
                <w:szCs w:val="28"/>
                <w:vertAlign w:val="subscript"/>
              </w:rPr>
            </m:ctrlPr>
          </m:e>
        </m:nary>
      </m:oMath>
      <w:r>
        <w:rPr>
          <w:rFonts w:eastAsia="仿宋_GB2312"/>
          <w:i/>
          <w:color w:val="auto"/>
          <w:sz w:val="28"/>
          <w:szCs w:val="28"/>
        </w:rPr>
        <w:t>）×K</w:t>
      </w:r>
      <w:r>
        <w:rPr>
          <w:rFonts w:eastAsia="仿宋_GB2312"/>
          <w:i/>
          <w:color w:val="auto"/>
          <w:sz w:val="28"/>
          <w:szCs w:val="28"/>
          <w:vertAlign w:val="subscript"/>
        </w:rPr>
        <w:t>v</w:t>
      </w:r>
      <w:r>
        <w:rPr>
          <w:rFonts w:eastAsia="仿宋_GB2312"/>
          <w:i/>
          <w:color w:val="auto"/>
          <w:sz w:val="28"/>
          <w:szCs w:val="28"/>
        </w:rPr>
        <w:t>×K</w:t>
      </w:r>
      <w:r>
        <w:rPr>
          <w:rFonts w:eastAsia="仿宋_GB2312"/>
          <w:i/>
          <w:color w:val="auto"/>
          <w:sz w:val="28"/>
          <w:szCs w:val="28"/>
          <w:vertAlign w:val="subscript"/>
        </w:rPr>
        <w:t>y</w:t>
      </w:r>
      <w:r>
        <w:rPr>
          <w:rFonts w:eastAsia="仿宋_GB2312"/>
          <w:i/>
          <w:color w:val="auto"/>
          <w:sz w:val="28"/>
          <w:szCs w:val="28"/>
        </w:rPr>
        <w:t>×K</w:t>
      </w:r>
      <w:r>
        <w:rPr>
          <w:rFonts w:eastAsia="仿宋_GB2312"/>
          <w:i/>
          <w:color w:val="auto"/>
          <w:sz w:val="28"/>
          <w:szCs w:val="28"/>
          <w:vertAlign w:val="subscript"/>
        </w:rPr>
        <w:t>q</w:t>
      </w:r>
      <w:r>
        <w:rPr>
          <w:rFonts w:eastAsia="仿宋_GB2312"/>
          <w:i/>
          <w:color w:val="auto"/>
          <w:sz w:val="28"/>
          <w:szCs w:val="28"/>
        </w:rPr>
        <w:t>×K</w:t>
      </w:r>
      <w:r>
        <w:rPr>
          <w:rFonts w:eastAsia="仿宋_GB2312"/>
          <w:i/>
          <w:color w:val="auto"/>
          <w:sz w:val="28"/>
          <w:szCs w:val="28"/>
          <w:vertAlign w:val="subscript"/>
        </w:rPr>
        <w:t>l</w:t>
      </w:r>
      <w:r>
        <w:rPr>
          <w:rFonts w:eastAsia="仿宋_GB2312"/>
          <w:i/>
          <w:color w:val="auto"/>
          <w:sz w:val="28"/>
          <w:szCs w:val="28"/>
        </w:rPr>
        <w:t>×K</w:t>
      </w:r>
      <w:r>
        <w:rPr>
          <w:rFonts w:eastAsia="仿宋_GB2312"/>
          <w:i/>
          <w:color w:val="auto"/>
          <w:sz w:val="28"/>
          <w:szCs w:val="28"/>
          <w:vertAlign w:val="subscript"/>
        </w:rPr>
        <w:t>j</w:t>
      </w:r>
      <w:r>
        <w:rPr>
          <w:rFonts w:eastAsia="仿宋_GB2312"/>
          <w:i/>
          <w:color w:val="auto"/>
          <w:sz w:val="28"/>
          <w:szCs w:val="28"/>
        </w:rPr>
        <w:t>×K</w:t>
      </w:r>
      <w:r>
        <w:rPr>
          <w:rFonts w:eastAsia="仿宋_GB2312"/>
          <w:i/>
          <w:color w:val="auto"/>
          <w:sz w:val="28"/>
          <w:szCs w:val="28"/>
          <w:vertAlign w:val="subscript"/>
        </w:rPr>
        <w:t>g</w:t>
      </w:r>
      <w:r>
        <w:rPr>
          <w:rFonts w:eastAsia="仿宋_GB2312"/>
          <w:i/>
          <w:color w:val="auto"/>
          <w:sz w:val="28"/>
          <w:szCs w:val="28"/>
        </w:rPr>
        <w:t>± D</w:t>
      </w:r>
    </w:p>
    <w:p>
      <w:pPr>
        <w:keepNext w:val="0"/>
        <w:keepLines w:val="0"/>
        <w:pageBreakBefore w:val="0"/>
        <w:widowControl w:val="0"/>
        <w:kinsoku/>
        <w:wordWrap/>
        <w:overflowPunct/>
        <w:topLinePunct w:val="0"/>
        <w:bidi w:val="0"/>
        <w:adjustRightInd w:val="0"/>
        <w:snapToGrid w:val="0"/>
        <w:spacing w:line="560" w:lineRule="exact"/>
        <w:textAlignment w:val="auto"/>
        <w:rPr>
          <w:rFonts w:eastAsia="仿宋_GB2312"/>
          <w:i/>
          <w:color w:val="auto"/>
          <w:sz w:val="28"/>
        </w:rPr>
      </w:pPr>
      <w:r>
        <w:rPr>
          <w:rFonts w:eastAsia="仿宋_GB2312"/>
          <w:color w:val="auto"/>
          <w:sz w:val="28"/>
        </w:rPr>
        <w:t>已建成项目：</w:t>
      </w:r>
      <w:r>
        <w:rPr>
          <w:rFonts w:eastAsia="仿宋_GB2312"/>
          <w:i/>
          <w:color w:val="auto"/>
          <w:sz w:val="28"/>
          <w:szCs w:val="28"/>
        </w:rPr>
        <w:t>P</w:t>
      </w:r>
      <w:r>
        <w:rPr>
          <w:rFonts w:eastAsia="仿宋_GB2312"/>
          <w:i/>
          <w:color w:val="auto"/>
          <w:sz w:val="28"/>
          <w:szCs w:val="28"/>
          <w:vertAlign w:val="subscript"/>
        </w:rPr>
        <w:t>建</w:t>
      </w:r>
      <w:r>
        <w:rPr>
          <w:rFonts w:eastAsia="仿宋_GB2312"/>
          <w:i/>
          <w:color w:val="auto"/>
          <w:sz w:val="28"/>
          <w:szCs w:val="28"/>
        </w:rPr>
        <w:t>＝P</w:t>
      </w:r>
      <w:r>
        <w:rPr>
          <w:rFonts w:eastAsia="仿宋_GB2312"/>
          <w:i/>
          <w:color w:val="auto"/>
          <w:sz w:val="28"/>
          <w:szCs w:val="28"/>
          <w:vertAlign w:val="subscript"/>
        </w:rPr>
        <w:t>楼</w:t>
      </w:r>
      <w:r>
        <w:rPr>
          <w:rFonts w:eastAsia="仿宋_GB2312"/>
          <w:color w:val="auto"/>
          <w:sz w:val="28"/>
          <w:szCs w:val="28"/>
        </w:rPr>
        <w:t>×</w:t>
      </w:r>
      <w:r>
        <w:rPr>
          <w:rFonts w:eastAsia="仿宋_GB2312"/>
          <w:i/>
          <w:color w:val="auto"/>
          <w:sz w:val="28"/>
          <w:szCs w:val="28"/>
        </w:rPr>
        <w:t>K</w:t>
      </w:r>
      <w:r>
        <w:rPr>
          <w:rFonts w:eastAsia="仿宋_GB2312"/>
          <w:i/>
          <w:color w:val="auto"/>
          <w:sz w:val="28"/>
          <w:szCs w:val="28"/>
          <w:vertAlign w:val="subscript"/>
        </w:rPr>
        <w:t>t</w:t>
      </w:r>
      <w:r>
        <w:rPr>
          <w:rFonts w:eastAsia="仿宋_GB2312"/>
          <w:i/>
          <w:color w:val="auto"/>
          <w:sz w:val="28"/>
          <w:szCs w:val="28"/>
        </w:rPr>
        <w:t>×（1+</w:t>
      </w:r>
      <m:oMath>
        <m:nary>
          <m:naryPr>
            <m:chr m:val="∑"/>
            <m:limLoc m:val="undOvr"/>
            <m:ctrlPr>
              <w:rPr>
                <w:rFonts w:ascii="Cambria Math" w:hAnsi="Cambria Math" w:eastAsia="仿宋_GB2312"/>
                <w:color w:val="auto"/>
                <w:sz w:val="28"/>
                <w:szCs w:val="28"/>
                <w:vertAlign w:val="subscript"/>
              </w:rPr>
            </m:ctrlPr>
          </m:naryPr>
          <m:sub>
            <m:r>
              <m:rPr/>
              <w:rPr>
                <w:rFonts w:ascii="Cambria Math" w:hAnsi="Cambria Math" w:eastAsia="仿宋_GB2312"/>
                <w:color w:val="auto"/>
                <w:sz w:val="28"/>
                <w:szCs w:val="28"/>
                <w:vertAlign w:val="subscript"/>
              </w:rPr>
              <m:t>i=1</m:t>
            </m:r>
            <m:ctrlPr>
              <w:rPr>
                <w:rFonts w:ascii="Cambria Math" w:hAnsi="Cambria Math" w:eastAsia="仿宋_GB2312"/>
                <w:color w:val="auto"/>
                <w:sz w:val="28"/>
                <w:szCs w:val="28"/>
                <w:vertAlign w:val="subscript"/>
              </w:rPr>
            </m:ctrlPr>
          </m:sub>
          <m:sup>
            <m:r>
              <m:rPr/>
              <w:rPr>
                <w:rFonts w:ascii="Cambria Math" w:hAnsi="Cambria Math" w:eastAsia="仿宋_GB2312"/>
                <w:color w:val="auto"/>
                <w:sz w:val="28"/>
                <w:szCs w:val="28"/>
                <w:vertAlign w:val="subscript"/>
              </w:rPr>
              <m:t>n</m:t>
            </m:r>
            <m:ctrlPr>
              <w:rPr>
                <w:rFonts w:ascii="Cambria Math" w:hAnsi="Cambria Math" w:eastAsia="仿宋_GB2312"/>
                <w:color w:val="auto"/>
                <w:sz w:val="28"/>
                <w:szCs w:val="28"/>
                <w:vertAlign w:val="subscript"/>
              </w:rPr>
            </m:ctrlPr>
          </m:sup>
          <m:e>
            <m:sSub>
              <m:sSubPr>
                <m:ctrlPr>
                  <w:rPr>
                    <w:rFonts w:ascii="Cambria Math" w:hAnsi="Cambria Math" w:eastAsia="仿宋_GB2312"/>
                    <w:i/>
                    <w:color w:val="auto"/>
                    <w:sz w:val="28"/>
                    <w:szCs w:val="28"/>
                  </w:rPr>
                </m:ctrlPr>
              </m:sSubPr>
              <m:e>
                <m:r>
                  <m:rPr/>
                  <w:rPr>
                    <w:rFonts w:ascii="Cambria Math" w:hAnsi="Cambria Math" w:eastAsia="仿宋_GB2312"/>
                    <w:color w:val="auto"/>
                    <w:sz w:val="28"/>
                    <w:szCs w:val="28"/>
                  </w:rPr>
                  <m:t>K</m:t>
                </m:r>
                <m:ctrlPr>
                  <w:rPr>
                    <w:rFonts w:ascii="Cambria Math" w:hAnsi="Cambria Math" w:eastAsia="仿宋_GB2312"/>
                    <w:i/>
                    <w:color w:val="auto"/>
                    <w:sz w:val="28"/>
                    <w:szCs w:val="28"/>
                  </w:rPr>
                </m:ctrlPr>
              </m:e>
              <m:sub>
                <m:r>
                  <m:rPr/>
                  <w:rPr>
                    <w:rFonts w:ascii="Cambria Math" w:hAnsi="Cambria Math" w:eastAsia="仿宋_GB2312"/>
                    <w:color w:val="auto"/>
                    <w:sz w:val="28"/>
                    <w:szCs w:val="28"/>
                  </w:rPr>
                  <m:t>i</m:t>
                </m:r>
                <m:ctrlPr>
                  <w:rPr>
                    <w:rFonts w:ascii="Cambria Math" w:hAnsi="Cambria Math" w:eastAsia="仿宋_GB2312"/>
                    <w:i/>
                    <w:color w:val="auto"/>
                    <w:sz w:val="28"/>
                    <w:szCs w:val="28"/>
                  </w:rPr>
                </m:ctrlPr>
              </m:sub>
            </m:sSub>
            <m:ctrlPr>
              <w:rPr>
                <w:rFonts w:ascii="Cambria Math" w:hAnsi="Cambria Math" w:eastAsia="仿宋_GB2312"/>
                <w:color w:val="auto"/>
                <w:sz w:val="28"/>
                <w:szCs w:val="28"/>
                <w:vertAlign w:val="subscript"/>
              </w:rPr>
            </m:ctrlPr>
          </m:e>
        </m:nary>
      </m:oMath>
      <w:r>
        <w:rPr>
          <w:rFonts w:eastAsia="仿宋_GB2312"/>
          <w:i/>
          <w:color w:val="auto"/>
          <w:sz w:val="28"/>
          <w:szCs w:val="28"/>
        </w:rPr>
        <w:t>）×K</w:t>
      </w:r>
      <w:r>
        <w:rPr>
          <w:rFonts w:eastAsia="仿宋_GB2312"/>
          <w:i/>
          <w:color w:val="auto"/>
          <w:sz w:val="28"/>
          <w:szCs w:val="28"/>
          <w:vertAlign w:val="subscript"/>
        </w:rPr>
        <w:t>lx</w:t>
      </w:r>
      <w:r>
        <w:rPr>
          <w:rFonts w:eastAsia="仿宋_GB2312"/>
          <w:i/>
          <w:color w:val="auto"/>
          <w:sz w:val="28"/>
          <w:szCs w:val="28"/>
        </w:rPr>
        <w:t>×K</w:t>
      </w:r>
      <w:r>
        <w:rPr>
          <w:rFonts w:eastAsia="仿宋_GB2312"/>
          <w:i/>
          <w:color w:val="auto"/>
          <w:sz w:val="28"/>
          <w:szCs w:val="28"/>
          <w:vertAlign w:val="subscript"/>
        </w:rPr>
        <w:t>y</w:t>
      </w:r>
      <w:r>
        <w:rPr>
          <w:rFonts w:eastAsia="仿宋_GB2312"/>
          <w:i/>
          <w:color w:val="auto"/>
          <w:sz w:val="28"/>
          <w:szCs w:val="28"/>
        </w:rPr>
        <w:t>×K</w:t>
      </w:r>
      <w:r>
        <w:rPr>
          <w:rFonts w:eastAsia="仿宋_GB2312"/>
          <w:i/>
          <w:color w:val="auto"/>
          <w:sz w:val="28"/>
          <w:szCs w:val="28"/>
          <w:vertAlign w:val="subscript"/>
        </w:rPr>
        <w:t>q</w:t>
      </w:r>
      <w:r>
        <w:rPr>
          <w:rFonts w:eastAsia="仿宋_GB2312"/>
          <w:i/>
          <w:color w:val="auto"/>
          <w:sz w:val="28"/>
          <w:szCs w:val="28"/>
        </w:rPr>
        <w:t>×K</w:t>
      </w:r>
      <w:r>
        <w:rPr>
          <w:rFonts w:eastAsia="仿宋_GB2312"/>
          <w:i/>
          <w:color w:val="auto"/>
          <w:sz w:val="28"/>
          <w:szCs w:val="28"/>
          <w:vertAlign w:val="subscript"/>
        </w:rPr>
        <w:t>l</w:t>
      </w:r>
      <w:r>
        <w:rPr>
          <w:rFonts w:eastAsia="仿宋_GB2312"/>
          <w:i/>
          <w:color w:val="auto"/>
          <w:sz w:val="28"/>
          <w:szCs w:val="28"/>
        </w:rPr>
        <w:t>×K</w:t>
      </w:r>
      <w:r>
        <w:rPr>
          <w:rFonts w:eastAsia="仿宋_GB2312"/>
          <w:i/>
          <w:color w:val="auto"/>
          <w:sz w:val="28"/>
          <w:szCs w:val="28"/>
          <w:vertAlign w:val="subscript"/>
        </w:rPr>
        <w:t>j</w:t>
      </w:r>
      <w:r>
        <w:rPr>
          <w:rFonts w:eastAsia="仿宋_GB2312"/>
          <w:i/>
          <w:color w:val="auto"/>
          <w:sz w:val="28"/>
          <w:szCs w:val="28"/>
        </w:rPr>
        <w:t>×K</w:t>
      </w:r>
      <w:r>
        <w:rPr>
          <w:rFonts w:eastAsia="仿宋_GB2312"/>
          <w:i/>
          <w:color w:val="auto"/>
          <w:sz w:val="28"/>
          <w:szCs w:val="28"/>
          <w:vertAlign w:val="subscript"/>
        </w:rPr>
        <w:t>g</w:t>
      </w:r>
      <w:r>
        <w:rPr>
          <w:rFonts w:eastAsia="仿宋_GB2312"/>
          <w:i/>
          <w:color w:val="auto"/>
          <w:sz w:val="28"/>
          <w:szCs w:val="28"/>
        </w:rPr>
        <w:t>± D</w:t>
      </w:r>
    </w:p>
    <w:p>
      <w:pPr>
        <w:keepNext/>
        <w:spacing w:line="360" w:lineRule="auto"/>
        <w:ind w:firstLine="437"/>
        <w:rPr>
          <w:rFonts w:eastAsia="仿宋_GB2312"/>
          <w:color w:val="auto"/>
          <w:sz w:val="24"/>
        </w:rPr>
      </w:pPr>
      <w:r>
        <w:rPr>
          <w:rFonts w:eastAsia="仿宋_GB2312"/>
          <w:color w:val="auto"/>
          <w:sz w:val="24"/>
        </w:rPr>
        <w:t>式中：</w:t>
      </w:r>
    </w:p>
    <w:tbl>
      <w:tblPr>
        <w:tblStyle w:val="88"/>
        <w:tblW w:w="7841" w:type="dxa"/>
        <w:jc w:val="center"/>
        <w:tblLayout w:type="fixed"/>
        <w:tblCellMar>
          <w:top w:w="0" w:type="dxa"/>
          <w:left w:w="108" w:type="dxa"/>
          <w:bottom w:w="0" w:type="dxa"/>
          <w:right w:w="108" w:type="dxa"/>
        </w:tblCellMar>
      </w:tblPr>
      <w:tblGrid>
        <w:gridCol w:w="944"/>
        <w:gridCol w:w="1136"/>
        <w:gridCol w:w="5761"/>
      </w:tblGrid>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8"/>
                <w:szCs w:val="28"/>
              </w:rPr>
              <w:t>P</w:t>
            </w:r>
            <w:r>
              <w:rPr>
                <w:rFonts w:eastAsia="仿宋_GB2312"/>
                <w:i/>
                <w:color w:val="auto"/>
                <w:sz w:val="28"/>
                <w:szCs w:val="28"/>
                <w:vertAlign w:val="subscript"/>
              </w:rPr>
              <w:t>开</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待开发项目宗地平均楼面地价</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8"/>
                <w:szCs w:val="28"/>
              </w:rPr>
              <w:t>P</w:t>
            </w:r>
            <w:r>
              <w:rPr>
                <w:rFonts w:eastAsia="仿宋_GB2312"/>
                <w:i/>
                <w:color w:val="auto"/>
                <w:sz w:val="28"/>
                <w:szCs w:val="28"/>
                <w:vertAlign w:val="subscript"/>
              </w:rPr>
              <w:t>建</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已建成项目第n层楼面地价</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P</w:t>
            </w:r>
            <w:r>
              <w:rPr>
                <w:rFonts w:eastAsia="仿宋_GB2312"/>
                <w:i/>
                <w:color w:val="auto"/>
                <w:sz w:val="24"/>
                <w:vertAlign w:val="subscript"/>
              </w:rPr>
              <w:t>楼</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待估宗地所在区域的级别基准地价（平均楼面地价）</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8"/>
                <w:szCs w:val="28"/>
                <w:vertAlign w:val="subscript"/>
              </w:rPr>
            </w:pPr>
            <w:r>
              <w:rPr>
                <w:rFonts w:eastAsia="仿宋_GB2312"/>
                <w:i/>
                <w:color w:val="auto"/>
                <w:sz w:val="28"/>
                <w:szCs w:val="28"/>
              </w:rPr>
              <w:t>K</w:t>
            </w:r>
            <w:r>
              <w:rPr>
                <w:rFonts w:eastAsia="仿宋_GB2312"/>
                <w:i/>
                <w:color w:val="auto"/>
                <w:sz w:val="28"/>
                <w:szCs w:val="28"/>
                <w:vertAlign w:val="subscript"/>
              </w:rPr>
              <w:t>t</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二级用地类型修正系数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i</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第</w:t>
            </w:r>
            <w:r>
              <w:rPr>
                <w:rFonts w:eastAsia="仿宋_GB2312"/>
                <w:i/>
                <w:color w:val="auto"/>
                <w:sz w:val="24"/>
              </w:rPr>
              <w:t>i</w:t>
            </w:r>
            <w:r>
              <w:rPr>
                <w:rFonts w:eastAsia="仿宋_GB2312"/>
                <w:color w:val="auto"/>
                <w:sz w:val="24"/>
              </w:rPr>
              <w:t>个区域因素修正系数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v</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容积率修正系数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lx</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楼层修正系数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hint="eastAsia" w:eastAsia="仿宋_GB2312"/>
                <w:color w:val="auto"/>
                <w:sz w:val="24"/>
              </w:rPr>
              <w:t>剩余</w:t>
            </w:r>
            <w:r>
              <w:rPr>
                <w:rFonts w:eastAsia="仿宋_GB2312"/>
                <w:color w:val="auto"/>
                <w:sz w:val="24"/>
              </w:rPr>
              <w:t>使用年期修正系数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q</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期日修正系数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l</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临路条件修正系数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j</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临街类型修正系数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K</w:t>
            </w:r>
            <w:r>
              <w:rPr>
                <w:rFonts w:eastAsia="仿宋_GB2312"/>
                <w:i/>
                <w:color w:val="auto"/>
                <w:sz w:val="24"/>
                <w:vertAlign w:val="subscript"/>
              </w:rPr>
              <w:t>g</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个别因素修正系数</w:t>
            </w:r>
          </w:p>
        </w:tc>
      </w:tr>
      <w:tr>
        <w:tblPrEx>
          <w:tblCellMar>
            <w:top w:w="0" w:type="dxa"/>
            <w:left w:w="108" w:type="dxa"/>
            <w:bottom w:w="0" w:type="dxa"/>
            <w:right w:w="108" w:type="dxa"/>
          </w:tblCellMar>
        </w:tblPrEx>
        <w:trPr>
          <w:trHeight w:val="340" w:hRule="atLeast"/>
          <w:jc w:val="center"/>
        </w:trPr>
        <w:tc>
          <w:tcPr>
            <w:tcW w:w="944" w:type="dxa"/>
            <w:vAlign w:val="center"/>
          </w:tcPr>
          <w:p>
            <w:pPr>
              <w:adjustRightInd w:val="0"/>
              <w:snapToGrid w:val="0"/>
              <w:spacing w:line="240" w:lineRule="auto"/>
              <w:rPr>
                <w:rFonts w:eastAsia="仿宋_GB2312"/>
                <w:i/>
                <w:color w:val="auto"/>
                <w:sz w:val="24"/>
              </w:rPr>
            </w:pPr>
            <w:r>
              <w:rPr>
                <w:rFonts w:eastAsia="仿宋_GB2312"/>
                <w:i/>
                <w:color w:val="auto"/>
                <w:sz w:val="24"/>
              </w:rPr>
              <w:t>D</w:t>
            </w:r>
          </w:p>
        </w:tc>
        <w:tc>
          <w:tcPr>
            <w:tcW w:w="1136" w:type="dxa"/>
            <w:vAlign w:val="center"/>
          </w:tcPr>
          <w:p>
            <w:pPr>
              <w:adjustRightInd w:val="0"/>
              <w:snapToGrid w:val="0"/>
              <w:spacing w:line="240" w:lineRule="auto"/>
              <w:rPr>
                <w:rFonts w:eastAsia="仿宋_GB2312"/>
                <w:i/>
                <w:color w:val="auto"/>
                <w:sz w:val="24"/>
              </w:rPr>
            </w:pPr>
            <w:r>
              <w:rPr>
                <w:rFonts w:eastAsia="仿宋_GB2312"/>
                <w:i/>
                <w:color w:val="auto"/>
                <w:sz w:val="24"/>
              </w:rPr>
              <w:t>——</w:t>
            </w:r>
          </w:p>
        </w:tc>
        <w:tc>
          <w:tcPr>
            <w:tcW w:w="5761" w:type="dxa"/>
            <w:vAlign w:val="center"/>
          </w:tcPr>
          <w:p>
            <w:pPr>
              <w:adjustRightInd w:val="0"/>
              <w:snapToGrid w:val="0"/>
              <w:spacing w:line="240" w:lineRule="auto"/>
              <w:rPr>
                <w:rFonts w:eastAsia="仿宋_GB2312"/>
                <w:color w:val="auto"/>
                <w:sz w:val="24"/>
              </w:rPr>
            </w:pPr>
            <w:r>
              <w:rPr>
                <w:rFonts w:eastAsia="仿宋_GB2312"/>
                <w:color w:val="auto"/>
                <w:sz w:val="24"/>
              </w:rPr>
              <w:t>土地开发程度修正值</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2</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rPr>
        <w:t>修正体系</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（1）区域因素修正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影响商服用地基准地价的区域因素较多，经过筛选并征询当地专家的有关意见，选取对宗地地价影响幅度较大的区域因素，并综合考虑各区片地域条件近似均值特点，确定区域因素修正系数。区域因素包括繁华程度、交通条件、基本设施状况、人口状况、城镇规划。其修正系数如下：</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rPr>
      </w:pPr>
    </w:p>
    <w:p>
      <w:pPr>
        <w:jc w:val="center"/>
        <w:rPr>
          <w:rFonts w:eastAsia="仿宋_GB2312"/>
          <w:b/>
          <w:bCs/>
          <w:color w:val="auto"/>
          <w:sz w:val="24"/>
        </w:rPr>
      </w:pPr>
      <w:r>
        <w:rPr>
          <w:rFonts w:hint="eastAsia" w:eastAsia="仿宋_GB2312"/>
          <w:b/>
          <w:bCs/>
          <w:color w:val="auto"/>
          <w:sz w:val="24"/>
        </w:rPr>
        <w:t xml:space="preserve">表4-1-1  </w:t>
      </w:r>
      <w:r>
        <w:rPr>
          <w:rFonts w:eastAsia="仿宋_GB2312"/>
          <w:b/>
          <w:bCs/>
          <w:color w:val="auto"/>
          <w:sz w:val="24"/>
        </w:rPr>
        <w:t>一级商服用地区域因素修正系数表</w:t>
      </w:r>
    </w:p>
    <w:tbl>
      <w:tblPr>
        <w:tblStyle w:val="88"/>
        <w:tblW w:w="9157" w:type="dxa"/>
        <w:jc w:val="center"/>
        <w:tblLayout w:type="fixed"/>
        <w:tblCellMar>
          <w:top w:w="0" w:type="dxa"/>
          <w:left w:w="108" w:type="dxa"/>
          <w:bottom w:w="0" w:type="dxa"/>
          <w:right w:w="108" w:type="dxa"/>
        </w:tblCellMar>
      </w:tblPr>
      <w:tblGrid>
        <w:gridCol w:w="1307"/>
        <w:gridCol w:w="1570"/>
        <w:gridCol w:w="1570"/>
        <w:gridCol w:w="1570"/>
        <w:gridCol w:w="1570"/>
        <w:gridCol w:w="1570"/>
      </w:tblGrid>
      <w:tr>
        <w:tblPrEx>
          <w:tblCellMar>
            <w:top w:w="0" w:type="dxa"/>
            <w:left w:w="108" w:type="dxa"/>
            <w:bottom w:w="0" w:type="dxa"/>
            <w:right w:w="108" w:type="dxa"/>
          </w:tblCellMar>
        </w:tblPrEx>
        <w:trPr>
          <w:trHeight w:val="331" w:hRule="atLeast"/>
          <w:tblHeader/>
          <w:jc w:val="center"/>
        </w:trPr>
        <w:tc>
          <w:tcPr>
            <w:tcW w:w="1307"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优劣度</w:t>
            </w:r>
          </w:p>
          <w:p>
            <w:pPr>
              <w:adjustRightInd w:val="0"/>
              <w:snapToGrid w:val="0"/>
              <w:spacing w:line="240" w:lineRule="auto"/>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因素</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优</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较优</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一般</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较劣</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劣</w:t>
            </w:r>
          </w:p>
        </w:tc>
      </w:tr>
      <w:tr>
        <w:tblPrEx>
          <w:tblCellMar>
            <w:top w:w="0" w:type="dxa"/>
            <w:left w:w="108" w:type="dxa"/>
            <w:bottom w:w="0" w:type="dxa"/>
            <w:right w:w="108" w:type="dxa"/>
          </w:tblCellMar>
        </w:tblPrEx>
        <w:trPr>
          <w:trHeight w:val="331" w:hRule="atLeast"/>
          <w:tblHeader/>
          <w:jc w:val="center"/>
        </w:trPr>
        <w:tc>
          <w:tcPr>
            <w:tcW w:w="130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290" w:hRule="atLeast"/>
          <w:jc w:val="center"/>
        </w:trPr>
        <w:tc>
          <w:tcPr>
            <w:tcW w:w="1307" w:type="dxa"/>
            <w:tcBorders>
              <w:top w:val="single" w:color="auto" w:sz="4" w:space="0"/>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距商服中心近、在商场、大型宾馆区范围内，人流畅旺</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距商服中心较近、离商场、宾馆区较近，人流较畅旺</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距商服中心有一定距离，与商场、宾馆距离一般、人流量一般</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31"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0.0816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0.0408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-0.0355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-0.0710 </w:t>
            </w:r>
          </w:p>
        </w:tc>
      </w:tr>
      <w:tr>
        <w:tblPrEx>
          <w:tblCellMar>
            <w:top w:w="0" w:type="dxa"/>
            <w:left w:w="108" w:type="dxa"/>
            <w:bottom w:w="0" w:type="dxa"/>
            <w:right w:w="108" w:type="dxa"/>
          </w:tblCellMar>
        </w:tblPrEx>
        <w:trPr>
          <w:trHeight w:val="1546"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31"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0.0490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0.0245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-0.0213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-0.0426 </w:t>
            </w:r>
          </w:p>
        </w:tc>
      </w:tr>
      <w:tr>
        <w:tblPrEx>
          <w:tblCellMar>
            <w:top w:w="0" w:type="dxa"/>
            <w:left w:w="108" w:type="dxa"/>
            <w:bottom w:w="0" w:type="dxa"/>
            <w:right w:w="108" w:type="dxa"/>
          </w:tblCellMar>
        </w:tblPrEx>
        <w:trPr>
          <w:trHeight w:val="1802"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高，排水状况好，周围学校、银行、医院等生活设施配套完备</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较高，排水状况较好，周围学校、银行、医院等生活设施配套较完备</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一般，排水状况一般，周围学校、银行、医院等生活设施配套一般</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较低，排水状况较差，离学校、银行、医院等生活设施有一定的距离</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低，排水状况差，离学校、银行、医院较远，生活设施配套不完备</w:t>
            </w:r>
          </w:p>
        </w:tc>
      </w:tr>
      <w:tr>
        <w:tblPrEx>
          <w:tblCellMar>
            <w:top w:w="0" w:type="dxa"/>
            <w:left w:w="108" w:type="dxa"/>
            <w:bottom w:w="0" w:type="dxa"/>
            <w:right w:w="108" w:type="dxa"/>
          </w:tblCellMar>
        </w:tblPrEx>
        <w:trPr>
          <w:trHeight w:val="331"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0.0436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0.0218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-0.0189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-0.0378 </w:t>
            </w:r>
          </w:p>
        </w:tc>
      </w:tr>
      <w:tr>
        <w:tblPrEx>
          <w:tblCellMar>
            <w:top w:w="0" w:type="dxa"/>
            <w:left w:w="108" w:type="dxa"/>
            <w:bottom w:w="0" w:type="dxa"/>
            <w:right w:w="108" w:type="dxa"/>
          </w:tblCellMar>
        </w:tblPrEx>
        <w:trPr>
          <w:trHeight w:val="331"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31"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0.0348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0.0174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-0.0304 </w:t>
            </w:r>
          </w:p>
        </w:tc>
      </w:tr>
      <w:tr>
        <w:tblPrEx>
          <w:tblCellMar>
            <w:top w:w="0" w:type="dxa"/>
            <w:left w:w="108" w:type="dxa"/>
            <w:bottom w:w="0" w:type="dxa"/>
            <w:right w:w="108" w:type="dxa"/>
          </w:tblCellMar>
        </w:tblPrEx>
        <w:trPr>
          <w:trHeight w:val="1290"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73" w:hRule="atLeast"/>
          <w:jc w:val="center"/>
        </w:trPr>
        <w:tc>
          <w:tcPr>
            <w:tcW w:w="130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0.0208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0.0104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-0.0091 </w:t>
            </w:r>
          </w:p>
        </w:tc>
        <w:tc>
          <w:tcPr>
            <w:tcW w:w="1570"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-0.0182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表4-1-2  二</w:t>
      </w:r>
      <w:r>
        <w:rPr>
          <w:rFonts w:eastAsia="仿宋_GB2312"/>
          <w:b/>
          <w:bCs/>
          <w:color w:val="auto"/>
          <w:sz w:val="24"/>
        </w:rPr>
        <w:t>级商服用地区域因素修正系数表</w:t>
      </w:r>
    </w:p>
    <w:tbl>
      <w:tblPr>
        <w:tblStyle w:val="88"/>
        <w:tblW w:w="9238" w:type="dxa"/>
        <w:jc w:val="center"/>
        <w:tblLayout w:type="fixed"/>
        <w:tblCellMar>
          <w:top w:w="0" w:type="dxa"/>
          <w:left w:w="108" w:type="dxa"/>
          <w:bottom w:w="0" w:type="dxa"/>
          <w:right w:w="108" w:type="dxa"/>
        </w:tblCellMar>
      </w:tblPr>
      <w:tblGrid>
        <w:gridCol w:w="1318"/>
        <w:gridCol w:w="1584"/>
        <w:gridCol w:w="1584"/>
        <w:gridCol w:w="1584"/>
        <w:gridCol w:w="1584"/>
        <w:gridCol w:w="1584"/>
      </w:tblGrid>
      <w:tr>
        <w:tblPrEx>
          <w:tblCellMar>
            <w:top w:w="0" w:type="dxa"/>
            <w:left w:w="108" w:type="dxa"/>
            <w:bottom w:w="0" w:type="dxa"/>
            <w:right w:w="108" w:type="dxa"/>
          </w:tblCellMar>
        </w:tblPrEx>
        <w:trPr>
          <w:trHeight w:val="471" w:hRule="atLeast"/>
          <w:tblHeader/>
          <w:jc w:val="center"/>
        </w:trPr>
        <w:tc>
          <w:tcPr>
            <w:tcW w:w="1318"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keepLines/>
              <w:widowControl/>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keepLines/>
              <w:widowControl/>
              <w:adjustRightInd w:val="0"/>
              <w:snapToGrid w:val="0"/>
              <w:spacing w:line="240" w:lineRule="auto"/>
              <w:rPr>
                <w:rFonts w:hint="eastAsia" w:eastAsia="仿宋_GB2312" w:cs="宋体"/>
                <w:b/>
                <w:bCs/>
                <w:color w:val="auto"/>
                <w:kern w:val="0"/>
                <w:sz w:val="22"/>
                <w:szCs w:val="22"/>
              </w:rPr>
            </w:pPr>
          </w:p>
          <w:p>
            <w:pPr>
              <w:keepLines/>
              <w:widowControl/>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84" w:type="dxa"/>
            <w:vMerge w:val="restart"/>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84" w:type="dxa"/>
            <w:vMerge w:val="restart"/>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84" w:type="dxa"/>
            <w:vMerge w:val="restart"/>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84" w:type="dxa"/>
            <w:vMerge w:val="restart"/>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84" w:type="dxa"/>
            <w:vMerge w:val="restart"/>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471" w:hRule="atLeast"/>
          <w:tblHeader/>
          <w:jc w:val="center"/>
        </w:trPr>
        <w:tc>
          <w:tcPr>
            <w:tcW w:w="1318"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rPr>
                <w:rFonts w:eastAsia="仿宋_GB2312" w:cs="宋体"/>
                <w:b/>
                <w:bCs/>
                <w:color w:val="auto"/>
                <w:kern w:val="0"/>
                <w:sz w:val="22"/>
                <w:szCs w:val="22"/>
              </w:rPr>
            </w:pPr>
          </w:p>
        </w:tc>
        <w:tc>
          <w:tcPr>
            <w:tcW w:w="1584"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p>
        </w:tc>
        <w:tc>
          <w:tcPr>
            <w:tcW w:w="1584"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p>
        </w:tc>
        <w:tc>
          <w:tcPr>
            <w:tcW w:w="1584"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p>
        </w:tc>
        <w:tc>
          <w:tcPr>
            <w:tcW w:w="1584"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p>
        </w:tc>
        <w:tc>
          <w:tcPr>
            <w:tcW w:w="1584" w:type="dxa"/>
            <w:vMerge w:val="continue"/>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589" w:hRule="atLeast"/>
          <w:jc w:val="center"/>
        </w:trPr>
        <w:tc>
          <w:tcPr>
            <w:tcW w:w="1318" w:type="dxa"/>
            <w:tcBorders>
              <w:top w:val="single" w:color="auto" w:sz="4" w:space="0"/>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距商服中心近、在商场、大型宾馆区范围内，人流畅旺</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距商服中心较近、离商场、宾馆区较近，人流较畅旺</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距商服中心有一定距离，与商场、宾馆距离一般、人流量一般</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71"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0.0706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0.0353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-0.0330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-0.0660 </w:t>
            </w:r>
          </w:p>
        </w:tc>
      </w:tr>
      <w:tr>
        <w:tblPrEx>
          <w:tblCellMar>
            <w:top w:w="0" w:type="dxa"/>
            <w:left w:w="108" w:type="dxa"/>
            <w:bottom w:w="0" w:type="dxa"/>
            <w:right w:w="108" w:type="dxa"/>
          </w:tblCellMar>
        </w:tblPrEx>
        <w:trPr>
          <w:cantSplit/>
          <w:trHeight w:val="1973" w:hRule="atLeast"/>
          <w:jc w:val="center"/>
        </w:trPr>
        <w:tc>
          <w:tcPr>
            <w:tcW w:w="1318"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71"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0.0424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0.0212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-0.0198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-0.0396 </w:t>
            </w:r>
          </w:p>
        </w:tc>
      </w:tr>
      <w:tr>
        <w:tblPrEx>
          <w:tblCellMar>
            <w:top w:w="0" w:type="dxa"/>
            <w:left w:w="108" w:type="dxa"/>
            <w:bottom w:w="0" w:type="dxa"/>
            <w:right w:w="108" w:type="dxa"/>
          </w:tblCellMar>
        </w:tblPrEx>
        <w:trPr>
          <w:trHeight w:val="2358" w:hRule="atLeast"/>
          <w:jc w:val="center"/>
        </w:trPr>
        <w:tc>
          <w:tcPr>
            <w:tcW w:w="1318" w:type="dxa"/>
            <w:tcBorders>
              <w:top w:val="nil"/>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84"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高，排水状况好，周围学校、银行、医院等生活设施配套完备</w:t>
            </w:r>
          </w:p>
        </w:tc>
        <w:tc>
          <w:tcPr>
            <w:tcW w:w="1584"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较高，排水状况较好，周围学校、银行、医院等生活设施配套较完备</w:t>
            </w:r>
          </w:p>
        </w:tc>
        <w:tc>
          <w:tcPr>
            <w:tcW w:w="1584"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一般，排水状况一般，周围学校、银行、医院等生活设施配套一般</w:t>
            </w:r>
          </w:p>
        </w:tc>
        <w:tc>
          <w:tcPr>
            <w:tcW w:w="1584"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较低，排水状况较差，离学校、银行、医院等生活设施有一定的距离</w:t>
            </w:r>
          </w:p>
        </w:tc>
        <w:tc>
          <w:tcPr>
            <w:tcW w:w="1584"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低，排水状况差，离学校、银行、医院较远，生活设施配套不完备</w:t>
            </w:r>
          </w:p>
        </w:tc>
      </w:tr>
      <w:tr>
        <w:tblPrEx>
          <w:tblCellMar>
            <w:top w:w="0" w:type="dxa"/>
            <w:left w:w="108" w:type="dxa"/>
            <w:bottom w:w="0" w:type="dxa"/>
            <w:right w:w="108" w:type="dxa"/>
          </w:tblCellMar>
        </w:tblPrEx>
        <w:trPr>
          <w:trHeight w:val="471"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0.0376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0.0188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-0.0352 </w:t>
            </w:r>
          </w:p>
        </w:tc>
      </w:tr>
      <w:tr>
        <w:tblPrEx>
          <w:tblCellMar>
            <w:top w:w="0" w:type="dxa"/>
            <w:left w:w="108" w:type="dxa"/>
            <w:bottom w:w="0" w:type="dxa"/>
            <w:right w:w="108" w:type="dxa"/>
          </w:tblCellMar>
        </w:tblPrEx>
        <w:trPr>
          <w:trHeight w:val="471"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71"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0.0302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0.0151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-0.0141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-0.0282 </w:t>
            </w:r>
          </w:p>
        </w:tc>
      </w:tr>
      <w:tr>
        <w:tblPrEx>
          <w:tblCellMar>
            <w:top w:w="0" w:type="dxa"/>
            <w:left w:w="108" w:type="dxa"/>
            <w:bottom w:w="0" w:type="dxa"/>
            <w:right w:w="108" w:type="dxa"/>
          </w:tblCellMar>
        </w:tblPrEx>
        <w:trPr>
          <w:trHeight w:val="1589"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8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523" w:hRule="atLeast"/>
          <w:jc w:val="center"/>
        </w:trPr>
        <w:tc>
          <w:tcPr>
            <w:tcW w:w="1318" w:type="dxa"/>
            <w:tcBorders>
              <w:top w:val="nil"/>
              <w:left w:val="single" w:color="auto" w:sz="4" w:space="0"/>
              <w:bottom w:val="single" w:color="auto" w:sz="4" w:space="0"/>
              <w:right w:val="single" w:color="auto" w:sz="4" w:space="0"/>
            </w:tcBorders>
            <w:vAlign w:val="center"/>
          </w:tcPr>
          <w:p>
            <w:pPr>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-0.0084 </w:t>
            </w:r>
          </w:p>
        </w:tc>
        <w:tc>
          <w:tcPr>
            <w:tcW w:w="1584" w:type="dxa"/>
            <w:tcBorders>
              <w:top w:val="nil"/>
              <w:left w:val="nil"/>
              <w:bottom w:val="single" w:color="auto" w:sz="4" w:space="0"/>
              <w:right w:val="single" w:color="auto" w:sz="4" w:space="0"/>
            </w:tcBorders>
            <w:vAlign w:val="center"/>
          </w:tcPr>
          <w:p>
            <w:pPr>
              <w:keepLines/>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-0.0168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表4-1-3  三</w:t>
      </w:r>
      <w:r>
        <w:rPr>
          <w:rFonts w:eastAsia="仿宋_GB2312"/>
          <w:b/>
          <w:bCs/>
          <w:color w:val="auto"/>
          <w:sz w:val="24"/>
        </w:rPr>
        <w:t>级商服用地区域因素修正系数表</w:t>
      </w:r>
    </w:p>
    <w:tbl>
      <w:tblPr>
        <w:tblStyle w:val="88"/>
        <w:tblW w:w="9298" w:type="dxa"/>
        <w:jc w:val="center"/>
        <w:tblLayout w:type="fixed"/>
        <w:tblCellMar>
          <w:top w:w="0" w:type="dxa"/>
          <w:left w:w="108" w:type="dxa"/>
          <w:bottom w:w="0" w:type="dxa"/>
          <w:right w:w="108" w:type="dxa"/>
        </w:tblCellMar>
      </w:tblPr>
      <w:tblGrid>
        <w:gridCol w:w="1328"/>
        <w:gridCol w:w="1594"/>
        <w:gridCol w:w="1594"/>
        <w:gridCol w:w="1594"/>
        <w:gridCol w:w="1594"/>
        <w:gridCol w:w="1594"/>
      </w:tblGrid>
      <w:tr>
        <w:tblPrEx>
          <w:tblCellMar>
            <w:top w:w="0" w:type="dxa"/>
            <w:left w:w="108" w:type="dxa"/>
            <w:bottom w:w="0" w:type="dxa"/>
            <w:right w:w="108" w:type="dxa"/>
          </w:tblCellMar>
        </w:tblPrEx>
        <w:trPr>
          <w:trHeight w:val="493" w:hRule="atLeast"/>
          <w:tblHeader/>
          <w:jc w:val="center"/>
        </w:trPr>
        <w:tc>
          <w:tcPr>
            <w:tcW w:w="1328"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9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9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9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9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9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493" w:hRule="atLeast"/>
          <w:tblHeader/>
          <w:jc w:val="center"/>
        </w:trPr>
        <w:tc>
          <w:tcPr>
            <w:tcW w:w="1328"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648"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94"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距商服中心近、在商场、大型宾馆区范围内，人流畅旺</w:t>
            </w:r>
          </w:p>
        </w:tc>
        <w:tc>
          <w:tcPr>
            <w:tcW w:w="1594"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距商服中心较近、离商场、宾馆区较近，人流较畅旺</w:t>
            </w:r>
          </w:p>
        </w:tc>
        <w:tc>
          <w:tcPr>
            <w:tcW w:w="1594"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距商服中心有一定距离，与商场、宾馆距离一般、人流量一般</w:t>
            </w:r>
          </w:p>
        </w:tc>
        <w:tc>
          <w:tcPr>
            <w:tcW w:w="1594"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94"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93"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0.0620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0.0310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-0.0299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-0.0598 </w:t>
            </w:r>
          </w:p>
        </w:tc>
      </w:tr>
      <w:tr>
        <w:tblPrEx>
          <w:tblCellMar>
            <w:top w:w="0" w:type="dxa"/>
            <w:left w:w="108" w:type="dxa"/>
            <w:bottom w:w="0" w:type="dxa"/>
            <w:right w:w="108" w:type="dxa"/>
          </w:tblCellMar>
        </w:tblPrEx>
        <w:trPr>
          <w:trHeight w:val="2044"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93"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0.0372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-0.0179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-0.0358 </w:t>
            </w:r>
          </w:p>
        </w:tc>
      </w:tr>
      <w:tr>
        <w:tblPrEx>
          <w:tblCellMar>
            <w:top w:w="0" w:type="dxa"/>
            <w:left w:w="108" w:type="dxa"/>
            <w:bottom w:w="0" w:type="dxa"/>
            <w:right w:w="108" w:type="dxa"/>
          </w:tblCellMar>
        </w:tblPrEx>
        <w:trPr>
          <w:cantSplit/>
          <w:trHeight w:val="2441" w:hRule="atLeast"/>
          <w:jc w:val="center"/>
        </w:trPr>
        <w:tc>
          <w:tcPr>
            <w:tcW w:w="1328" w:type="dxa"/>
            <w:tcBorders>
              <w:top w:val="nil"/>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9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高，排水状况好，周围学校、银行、医院等生活设施配套完备</w:t>
            </w:r>
          </w:p>
        </w:tc>
        <w:tc>
          <w:tcPr>
            <w:tcW w:w="159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较高，排水状况较好，周围学校、银行、医院等生活设施配套较完备</w:t>
            </w:r>
          </w:p>
        </w:tc>
        <w:tc>
          <w:tcPr>
            <w:tcW w:w="159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一般，排水状况一般，周围学校、银行、医院等生活设施配套一般</w:t>
            </w:r>
          </w:p>
        </w:tc>
        <w:tc>
          <w:tcPr>
            <w:tcW w:w="159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较低，排水状况较差，离学校、银行、医院等生活设施有一定的距离</w:t>
            </w:r>
          </w:p>
        </w:tc>
        <w:tc>
          <w:tcPr>
            <w:tcW w:w="1594"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低，排水状况差，离学校、银行、医院较远，生活设施配套不完备</w:t>
            </w:r>
          </w:p>
        </w:tc>
      </w:tr>
      <w:tr>
        <w:tblPrEx>
          <w:tblCellMar>
            <w:top w:w="0" w:type="dxa"/>
            <w:left w:w="108" w:type="dxa"/>
            <w:bottom w:w="0" w:type="dxa"/>
            <w:right w:w="108" w:type="dxa"/>
          </w:tblCellMar>
        </w:tblPrEx>
        <w:trPr>
          <w:trHeight w:val="493"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0.0330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0.0165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-0.0320 </w:t>
            </w:r>
          </w:p>
        </w:tc>
      </w:tr>
      <w:tr>
        <w:tblPrEx>
          <w:tblCellMar>
            <w:top w:w="0" w:type="dxa"/>
            <w:left w:w="108" w:type="dxa"/>
            <w:bottom w:w="0" w:type="dxa"/>
            <w:right w:w="108" w:type="dxa"/>
          </w:tblCellMar>
        </w:tblPrEx>
        <w:trPr>
          <w:trHeight w:val="493"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93"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0.0264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-0.0128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-0.0256 </w:t>
            </w:r>
          </w:p>
        </w:tc>
      </w:tr>
      <w:tr>
        <w:tblPrEx>
          <w:tblCellMar>
            <w:top w:w="0" w:type="dxa"/>
            <w:left w:w="108" w:type="dxa"/>
            <w:bottom w:w="0" w:type="dxa"/>
            <w:right w:w="108" w:type="dxa"/>
          </w:tblCellMar>
        </w:tblPrEx>
        <w:trPr>
          <w:trHeight w:val="1648"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559" w:hRule="atLeast"/>
          <w:jc w:val="center"/>
        </w:trPr>
        <w:tc>
          <w:tcPr>
            <w:tcW w:w="132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0.0079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-0.0076 </w:t>
            </w:r>
          </w:p>
        </w:tc>
        <w:tc>
          <w:tcPr>
            <w:tcW w:w="1594"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表4-1-4  四</w:t>
      </w:r>
      <w:r>
        <w:rPr>
          <w:rFonts w:eastAsia="仿宋_GB2312"/>
          <w:b/>
          <w:bCs/>
          <w:color w:val="auto"/>
          <w:sz w:val="24"/>
        </w:rPr>
        <w:t>级商服用地区域因素修正系数表</w:t>
      </w:r>
    </w:p>
    <w:tbl>
      <w:tblPr>
        <w:tblStyle w:val="88"/>
        <w:tblW w:w="9419" w:type="dxa"/>
        <w:jc w:val="center"/>
        <w:tblLayout w:type="fixed"/>
        <w:tblCellMar>
          <w:top w:w="0" w:type="dxa"/>
          <w:left w:w="108" w:type="dxa"/>
          <w:bottom w:w="0" w:type="dxa"/>
          <w:right w:w="108" w:type="dxa"/>
        </w:tblCellMar>
      </w:tblPr>
      <w:tblGrid>
        <w:gridCol w:w="1344"/>
        <w:gridCol w:w="1615"/>
        <w:gridCol w:w="1615"/>
        <w:gridCol w:w="1615"/>
        <w:gridCol w:w="1615"/>
        <w:gridCol w:w="1615"/>
      </w:tblGrid>
      <w:tr>
        <w:tblPrEx>
          <w:tblCellMar>
            <w:top w:w="0" w:type="dxa"/>
            <w:left w:w="108" w:type="dxa"/>
            <w:bottom w:w="0" w:type="dxa"/>
            <w:right w:w="108" w:type="dxa"/>
          </w:tblCellMar>
        </w:tblPrEx>
        <w:trPr>
          <w:trHeight w:val="488" w:hRule="atLeast"/>
          <w:tblHeader/>
          <w:jc w:val="center"/>
        </w:trPr>
        <w:tc>
          <w:tcPr>
            <w:tcW w:w="1344"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61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61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61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61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61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12" w:hRule="atLeast"/>
          <w:tblHeader/>
          <w:jc w:val="center"/>
        </w:trPr>
        <w:tc>
          <w:tcPr>
            <w:tcW w:w="134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6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6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6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6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61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622" w:hRule="atLeast"/>
          <w:jc w:val="center"/>
        </w:trPr>
        <w:tc>
          <w:tcPr>
            <w:tcW w:w="134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615"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距商服中心近、在大型商场、大型宾馆区范围内，人流畅旺</w:t>
            </w:r>
          </w:p>
        </w:tc>
        <w:tc>
          <w:tcPr>
            <w:tcW w:w="1615"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距商服中心较近、离商场、宾馆区较近，人流较畅旺</w:t>
            </w:r>
          </w:p>
        </w:tc>
        <w:tc>
          <w:tcPr>
            <w:tcW w:w="1615"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距商服中心有一定距离，与商场、宾馆距离一般、人流量一般</w:t>
            </w:r>
          </w:p>
        </w:tc>
        <w:tc>
          <w:tcPr>
            <w:tcW w:w="1615"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615" w:type="dxa"/>
            <w:tcBorders>
              <w:top w:val="nil"/>
              <w:left w:val="nil"/>
              <w:bottom w:val="single" w:color="auto" w:sz="4" w:space="0"/>
              <w:right w:val="single" w:color="auto" w:sz="4" w:space="0"/>
            </w:tcBorders>
            <w:vAlign w:val="center"/>
          </w:tcPr>
          <w:p>
            <w:pPr>
              <w:keepNext/>
              <w:keepLines/>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88"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0.0548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0.0274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-0.0258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-0.0516 </w:t>
            </w:r>
          </w:p>
        </w:tc>
      </w:tr>
      <w:tr>
        <w:tblPrEx>
          <w:tblCellMar>
            <w:top w:w="0" w:type="dxa"/>
            <w:left w:w="108" w:type="dxa"/>
            <w:bottom w:w="0" w:type="dxa"/>
            <w:right w:w="108" w:type="dxa"/>
          </w:tblCellMar>
        </w:tblPrEx>
        <w:trPr>
          <w:cantSplit/>
          <w:trHeight w:val="2012"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88"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0.0328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-0.0155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-0.0310 </w:t>
            </w:r>
          </w:p>
        </w:tc>
      </w:tr>
      <w:tr>
        <w:tblPrEx>
          <w:tblCellMar>
            <w:top w:w="0" w:type="dxa"/>
            <w:left w:w="108" w:type="dxa"/>
            <w:bottom w:w="0" w:type="dxa"/>
            <w:right w:w="108" w:type="dxa"/>
          </w:tblCellMar>
        </w:tblPrEx>
        <w:trPr>
          <w:trHeight w:val="2401"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高，排水状况好，周围学校、银行、医院等生活设施配套完备</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较高，排水状况较好，周围学校、银行、医院等生活设施配套较完备</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一般，排水状况一般，周围学校、银行、医院等生活设施配套一般</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较低，排水状况较差，离学校、银行、医院等生活设施有一定的距离</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低，排水状况差，离学校、银行、医院较远，生活设施配套不完备</w:t>
            </w:r>
          </w:p>
        </w:tc>
      </w:tr>
      <w:tr>
        <w:tblPrEx>
          <w:tblCellMar>
            <w:top w:w="0" w:type="dxa"/>
            <w:left w:w="108" w:type="dxa"/>
            <w:bottom w:w="0" w:type="dxa"/>
            <w:right w:w="108" w:type="dxa"/>
          </w:tblCellMar>
        </w:tblPrEx>
        <w:trPr>
          <w:trHeight w:val="488"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0.0292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0.0146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-0.0138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-0.0276 </w:t>
            </w:r>
          </w:p>
        </w:tc>
      </w:tr>
      <w:tr>
        <w:tblPrEx>
          <w:tblCellMar>
            <w:top w:w="0" w:type="dxa"/>
            <w:left w:w="108" w:type="dxa"/>
            <w:bottom w:w="0" w:type="dxa"/>
            <w:right w:w="108" w:type="dxa"/>
          </w:tblCellMar>
        </w:tblPrEx>
        <w:trPr>
          <w:trHeight w:val="488" w:hRule="atLeast"/>
          <w:jc w:val="center"/>
        </w:trPr>
        <w:tc>
          <w:tcPr>
            <w:tcW w:w="1344"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88"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0.0235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0.0117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-0.0220 </w:t>
            </w:r>
          </w:p>
        </w:tc>
      </w:tr>
      <w:tr>
        <w:tblPrEx>
          <w:tblCellMar>
            <w:top w:w="0" w:type="dxa"/>
            <w:left w:w="108" w:type="dxa"/>
            <w:bottom w:w="0" w:type="dxa"/>
            <w:right w:w="108" w:type="dxa"/>
          </w:tblCellMar>
        </w:tblPrEx>
        <w:trPr>
          <w:trHeight w:val="1622" w:hRule="atLeast"/>
          <w:jc w:val="center"/>
        </w:trPr>
        <w:tc>
          <w:tcPr>
            <w:tcW w:w="1344" w:type="dxa"/>
            <w:tcBorders>
              <w:top w:val="nil"/>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615"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615"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615"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615"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615"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555" w:hRule="atLeast"/>
          <w:jc w:val="center"/>
        </w:trPr>
        <w:tc>
          <w:tcPr>
            <w:tcW w:w="1344"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c>
          <w:tcPr>
            <w:tcW w:w="1615" w:type="dxa"/>
            <w:tcBorders>
              <w:top w:val="nil"/>
              <w:left w:val="nil"/>
              <w:bottom w:val="single" w:color="auto" w:sz="4" w:space="0"/>
              <w:right w:val="single" w:color="auto" w:sz="4" w:space="0"/>
            </w:tcBorders>
            <w:vAlign w:val="center"/>
          </w:tcPr>
          <w:p>
            <w:pPr>
              <w:widowControl/>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表4-1-5  五</w:t>
      </w:r>
      <w:r>
        <w:rPr>
          <w:rFonts w:eastAsia="仿宋_GB2312"/>
          <w:b/>
          <w:bCs/>
          <w:color w:val="auto"/>
          <w:sz w:val="24"/>
        </w:rPr>
        <w:t>级商服用地区域因素修正系数表</w:t>
      </w:r>
    </w:p>
    <w:tbl>
      <w:tblPr>
        <w:tblStyle w:val="88"/>
        <w:tblW w:w="5020" w:type="pct"/>
        <w:jc w:val="center"/>
        <w:tblLayout w:type="autofit"/>
        <w:tblCellMar>
          <w:top w:w="0" w:type="dxa"/>
          <w:left w:w="108" w:type="dxa"/>
          <w:bottom w:w="0" w:type="dxa"/>
          <w:right w:w="108" w:type="dxa"/>
        </w:tblCellMar>
      </w:tblPr>
      <w:tblGrid>
        <w:gridCol w:w="1297"/>
        <w:gridCol w:w="1560"/>
        <w:gridCol w:w="1560"/>
        <w:gridCol w:w="1560"/>
        <w:gridCol w:w="1560"/>
        <w:gridCol w:w="1560"/>
      </w:tblGrid>
      <w:tr>
        <w:tblPrEx>
          <w:tblCellMar>
            <w:top w:w="0" w:type="dxa"/>
            <w:left w:w="108" w:type="dxa"/>
            <w:bottom w:w="0" w:type="dxa"/>
            <w:right w:w="108" w:type="dxa"/>
          </w:tblCellMar>
        </w:tblPrEx>
        <w:trPr>
          <w:trHeight w:val="421" w:hRule="atLeast"/>
          <w:tblHeader/>
          <w:jc w:val="center"/>
        </w:trPr>
        <w:tc>
          <w:tcPr>
            <w:tcW w:w="713"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61" w:hRule="atLeast"/>
          <w:tblHeader/>
          <w:jc w:val="center"/>
        </w:trPr>
        <w:tc>
          <w:tcPr>
            <w:tcW w:w="71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787" w:hRule="atLeast"/>
          <w:jc w:val="center"/>
        </w:trPr>
        <w:tc>
          <w:tcPr>
            <w:tcW w:w="71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距商服中心近、在大型商场、大型宾馆区范围内，人流畅旺</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距商服中心较近、离商场、宾馆区较近，人流较畅旺</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距商服中心有一定距离，与商场、宾馆距离一般、人流量一般</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21"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0.0472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0.0236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-0.0210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-0.0420 </w:t>
            </w:r>
          </w:p>
        </w:tc>
      </w:tr>
      <w:tr>
        <w:tblPrEx>
          <w:tblCellMar>
            <w:top w:w="0" w:type="dxa"/>
            <w:left w:w="108" w:type="dxa"/>
            <w:bottom w:w="0" w:type="dxa"/>
            <w:right w:w="108" w:type="dxa"/>
          </w:tblCellMar>
        </w:tblPrEx>
        <w:trPr>
          <w:trHeight w:val="2136"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21"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0.0282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0.0141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-0.0126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-0.0252 </w:t>
            </w:r>
          </w:p>
        </w:tc>
      </w:tr>
      <w:tr>
        <w:tblPrEx>
          <w:tblCellMar>
            <w:top w:w="0" w:type="dxa"/>
            <w:left w:w="108" w:type="dxa"/>
            <w:bottom w:w="0" w:type="dxa"/>
            <w:right w:w="108" w:type="dxa"/>
          </w:tblCellMar>
        </w:tblPrEx>
        <w:trPr>
          <w:cantSplit/>
          <w:trHeight w:val="2485"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高，排水状况好，周围学校、银行、医院等生活设施配套完备</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较高，排水状况较好，周围学校、银行、医院等生活设施配套较完备</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一般，排水状况一般，周围学校、银行、医院等生活设施配套一般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较低，排水状况较差，离学校、银行、医院等生活设施有一定的距离</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w:t>
            </w:r>
            <w:r>
              <w:rPr>
                <w:rFonts w:eastAsia="仿宋_GB2312"/>
                <w:color w:val="auto"/>
                <w:kern w:val="0"/>
                <w:sz w:val="22"/>
                <w:szCs w:val="22"/>
                <w:lang w:bidi="ar"/>
              </w:rPr>
              <w:t>低，排水状况差，离学校、银行、医院较远，生活设施配套不完备</w:t>
            </w:r>
          </w:p>
        </w:tc>
      </w:tr>
      <w:tr>
        <w:tblPrEx>
          <w:tblCellMar>
            <w:top w:w="0" w:type="dxa"/>
            <w:left w:w="108" w:type="dxa"/>
            <w:bottom w:w="0" w:type="dxa"/>
            <w:right w:w="108" w:type="dxa"/>
          </w:tblCellMar>
        </w:tblPrEx>
        <w:trPr>
          <w:trHeight w:val="421"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0.0252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0.0126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0</w:t>
            </w:r>
            <w:r>
              <w:rPr>
                <w:rFonts w:hint="eastAsia" w:eastAsia="仿宋_GB2312"/>
                <w:color w:val="auto"/>
                <w:kern w:val="0"/>
                <w:sz w:val="22"/>
                <w:szCs w:val="22"/>
                <w:lang w:bidi="ar"/>
              </w:rPr>
              <w:t xml:space="preserve">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-0.0224 </w:t>
            </w:r>
          </w:p>
        </w:tc>
      </w:tr>
      <w:tr>
        <w:tblPrEx>
          <w:tblCellMar>
            <w:top w:w="0" w:type="dxa"/>
            <w:left w:w="108" w:type="dxa"/>
            <w:bottom w:w="0" w:type="dxa"/>
            <w:right w:w="108" w:type="dxa"/>
          </w:tblCellMar>
        </w:tblPrEx>
        <w:trPr>
          <w:trHeight w:val="421"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21"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0.0202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0.0101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0</w:t>
            </w:r>
            <w:r>
              <w:rPr>
                <w:rFonts w:hint="eastAsia" w:eastAsia="仿宋_GB2312"/>
                <w:color w:val="auto"/>
                <w:kern w:val="0"/>
                <w:sz w:val="22"/>
                <w:szCs w:val="22"/>
                <w:lang w:bidi="ar"/>
              </w:rPr>
              <w:t xml:space="preserve">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r>
      <w:tr>
        <w:tblPrEx>
          <w:tblCellMar>
            <w:top w:w="0" w:type="dxa"/>
            <w:left w:w="108" w:type="dxa"/>
            <w:bottom w:w="0" w:type="dxa"/>
            <w:right w:w="108" w:type="dxa"/>
          </w:tblCellMar>
        </w:tblPrEx>
        <w:trPr>
          <w:trHeight w:val="1787"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462" w:hRule="atLeast"/>
          <w:jc w:val="center"/>
        </w:trPr>
        <w:tc>
          <w:tcPr>
            <w:tcW w:w="713"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0.0060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0</w:t>
            </w:r>
            <w:r>
              <w:rPr>
                <w:rFonts w:hint="eastAsia" w:eastAsia="仿宋_GB2312"/>
                <w:color w:val="auto"/>
                <w:kern w:val="0"/>
                <w:sz w:val="22"/>
                <w:szCs w:val="22"/>
                <w:lang w:bidi="ar"/>
              </w:rPr>
              <w:t xml:space="preserve">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r>
    </w:tbl>
    <w:p>
      <w:pPr>
        <w:jc w:val="center"/>
        <w:rPr>
          <w:rFonts w:hint="eastAsia" w:eastAsia="仿宋_GB2312"/>
          <w:b/>
          <w:bCs/>
          <w:color w:val="auto"/>
          <w:sz w:val="24"/>
        </w:rPr>
      </w:pPr>
    </w:p>
    <w:p>
      <w:pPr>
        <w:jc w:val="center"/>
        <w:rPr>
          <w:rFonts w:eastAsia="仿宋_GB2312"/>
          <w:b/>
          <w:bCs/>
          <w:color w:val="auto"/>
          <w:sz w:val="24"/>
        </w:rPr>
      </w:pPr>
      <w:r>
        <w:rPr>
          <w:rFonts w:hint="eastAsia" w:eastAsia="仿宋_GB2312"/>
          <w:b/>
          <w:bCs/>
          <w:color w:val="auto"/>
          <w:sz w:val="24"/>
        </w:rPr>
        <w:t>表4-1-6  六</w:t>
      </w:r>
      <w:r>
        <w:rPr>
          <w:rFonts w:eastAsia="仿宋_GB2312"/>
          <w:b/>
          <w:bCs/>
          <w:color w:val="auto"/>
          <w:sz w:val="24"/>
        </w:rPr>
        <w:t>级商服用地区域因素修正系数表</w:t>
      </w:r>
    </w:p>
    <w:tbl>
      <w:tblPr>
        <w:tblStyle w:val="88"/>
        <w:tblW w:w="9158" w:type="dxa"/>
        <w:jc w:val="center"/>
        <w:tblLayout w:type="fixed"/>
        <w:tblCellMar>
          <w:top w:w="0" w:type="dxa"/>
          <w:left w:w="108" w:type="dxa"/>
          <w:bottom w:w="0" w:type="dxa"/>
          <w:right w:w="108" w:type="dxa"/>
        </w:tblCellMar>
      </w:tblPr>
      <w:tblGrid>
        <w:gridCol w:w="1308"/>
        <w:gridCol w:w="1570"/>
        <w:gridCol w:w="1570"/>
        <w:gridCol w:w="1570"/>
        <w:gridCol w:w="1570"/>
        <w:gridCol w:w="1570"/>
      </w:tblGrid>
      <w:tr>
        <w:tblPrEx>
          <w:tblCellMar>
            <w:top w:w="0" w:type="dxa"/>
            <w:left w:w="108" w:type="dxa"/>
            <w:bottom w:w="0" w:type="dxa"/>
            <w:right w:w="108" w:type="dxa"/>
          </w:tblCellMar>
        </w:tblPrEx>
        <w:trPr>
          <w:trHeight w:val="450" w:hRule="atLeast"/>
          <w:tblHeader/>
          <w:jc w:val="center"/>
        </w:trPr>
        <w:tc>
          <w:tcPr>
            <w:tcW w:w="1308"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7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450" w:hRule="atLeast"/>
          <w:tblHeader/>
          <w:jc w:val="center"/>
        </w:trPr>
        <w:tc>
          <w:tcPr>
            <w:tcW w:w="1308"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917" w:hRule="atLeast"/>
          <w:jc w:val="center"/>
        </w:trPr>
        <w:tc>
          <w:tcPr>
            <w:tcW w:w="13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距商服中心近、在农贸市场、大型宾馆区范围内，人流畅旺</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距商服中心较近、离农贸市场、宾馆区较近，人流较畅旺</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距商服中心有一定距离，与农贸市场、宾馆距离一般、人流量一般</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距商服中心较远，所在地区商业气氛平淡，人流较少</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50"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0.0400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0.0200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-0.0195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-0.0390 </w:t>
            </w:r>
          </w:p>
        </w:tc>
      </w:tr>
      <w:tr>
        <w:tblPrEx>
          <w:tblCellMar>
            <w:top w:w="0" w:type="dxa"/>
            <w:left w:w="108" w:type="dxa"/>
            <w:bottom w:w="0" w:type="dxa"/>
            <w:right w:w="108" w:type="dxa"/>
          </w:tblCellMar>
        </w:tblPrEx>
        <w:trPr>
          <w:trHeight w:val="1917"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道路通达度高，距长途汽车站近，公交便捷度高，交通方便</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道路通达度较高，距长途汽车站较近，公交便捷度较高，交通较方便</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道路通达度一般，距长途汽车站距离一般，公交便捷度一般，交通一般</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道路通达度较低，距长途汽车站较远，公交便捷度较差，交通较差</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50"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0.0240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-0.0117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-0.0234 </w:t>
            </w:r>
          </w:p>
        </w:tc>
      </w:tr>
      <w:tr>
        <w:tblPrEx>
          <w:tblCellMar>
            <w:top w:w="0" w:type="dxa"/>
            <w:left w:w="108" w:type="dxa"/>
            <w:bottom w:w="0" w:type="dxa"/>
            <w:right w:w="108" w:type="dxa"/>
          </w:tblCellMar>
        </w:tblPrEx>
        <w:trPr>
          <w:trHeight w:val="2668" w:hRule="atLeast"/>
          <w:jc w:val="center"/>
        </w:trPr>
        <w:tc>
          <w:tcPr>
            <w:tcW w:w="1308"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70"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市政供水、供电保证率高，排水状况好，周围学校、银行、邮电局（所）、医院等生活设施配套完备</w:t>
            </w:r>
          </w:p>
        </w:tc>
        <w:tc>
          <w:tcPr>
            <w:tcW w:w="1570"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市政供水、供电保证率较高，排水状况较好，周围学校、银行、邮电局（所）、医院等生活设施配套较完备</w:t>
            </w:r>
          </w:p>
        </w:tc>
        <w:tc>
          <w:tcPr>
            <w:tcW w:w="1570"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市政供水、供电保证率一般，排水状况一般，周围学校、银行、邮电局（所）、医院等生活设施配套一般</w:t>
            </w:r>
          </w:p>
        </w:tc>
        <w:tc>
          <w:tcPr>
            <w:tcW w:w="1570"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市政供水、供电保证率较低，排水状况较差，离学校、银行、邮电局（所）、医院等生活设施有一定的距离</w:t>
            </w:r>
          </w:p>
        </w:tc>
        <w:tc>
          <w:tcPr>
            <w:tcW w:w="1570" w:type="dxa"/>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450"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0.0212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-0.0104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-0.0208 </w:t>
            </w:r>
          </w:p>
        </w:tc>
      </w:tr>
      <w:tr>
        <w:tblPrEx>
          <w:tblCellMar>
            <w:top w:w="0" w:type="dxa"/>
            <w:left w:w="108" w:type="dxa"/>
            <w:bottom w:w="0" w:type="dxa"/>
            <w:right w:w="108" w:type="dxa"/>
          </w:tblCellMar>
        </w:tblPrEx>
        <w:trPr>
          <w:trHeight w:val="450" w:hRule="atLeast"/>
          <w:jc w:val="center"/>
        </w:trPr>
        <w:tc>
          <w:tcPr>
            <w:tcW w:w="1308"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人口密度高</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人口密度较高</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人口密度一般</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人口密度较低</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人口密度低</w:t>
            </w:r>
          </w:p>
        </w:tc>
      </w:tr>
      <w:tr>
        <w:tblPrEx>
          <w:tblCellMar>
            <w:top w:w="0" w:type="dxa"/>
            <w:left w:w="108" w:type="dxa"/>
            <w:bottom w:w="0" w:type="dxa"/>
            <w:right w:w="108" w:type="dxa"/>
          </w:tblCellMar>
        </w:tblPrEx>
        <w:trPr>
          <w:trHeight w:val="450"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0.0170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0.0085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-0.0083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-0.0166 </w:t>
            </w:r>
          </w:p>
        </w:tc>
      </w:tr>
      <w:tr>
        <w:tblPrEx>
          <w:tblCellMar>
            <w:top w:w="0" w:type="dxa"/>
            <w:left w:w="108" w:type="dxa"/>
            <w:bottom w:w="0" w:type="dxa"/>
            <w:right w:w="108" w:type="dxa"/>
          </w:tblCellMar>
        </w:tblPrEx>
        <w:trPr>
          <w:trHeight w:val="1578" w:hRule="atLeast"/>
          <w:jc w:val="center"/>
        </w:trPr>
        <w:tc>
          <w:tcPr>
            <w:tcW w:w="1308" w:type="dxa"/>
            <w:tcBorders>
              <w:top w:val="nil"/>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70"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区域内规划完善，且为重点商住规划区，近期规划前景好</w:t>
            </w:r>
          </w:p>
        </w:tc>
        <w:tc>
          <w:tcPr>
            <w:tcW w:w="1570"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区域规划较适合商住规划布局，近期规划前景较好</w:t>
            </w:r>
          </w:p>
        </w:tc>
        <w:tc>
          <w:tcPr>
            <w:tcW w:w="1570"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区域规划为其他用途规划，规划前景一般</w:t>
            </w:r>
          </w:p>
        </w:tc>
        <w:tc>
          <w:tcPr>
            <w:tcW w:w="1570"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区域规划为其他用途规划，规划前景较差</w:t>
            </w:r>
          </w:p>
        </w:tc>
        <w:tc>
          <w:tcPr>
            <w:tcW w:w="1570"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492" w:hRule="atLeast"/>
          <w:jc w:val="center"/>
        </w:trPr>
        <w:tc>
          <w:tcPr>
            <w:tcW w:w="13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0.0102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0.0051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-0.0050 </w:t>
            </w:r>
          </w:p>
        </w:tc>
        <w:tc>
          <w:tcPr>
            <w:tcW w:w="1570" w:type="dxa"/>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-0.0100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表4-1-7  七</w:t>
      </w:r>
      <w:r>
        <w:rPr>
          <w:rFonts w:eastAsia="仿宋_GB2312"/>
          <w:b/>
          <w:bCs/>
          <w:color w:val="auto"/>
          <w:sz w:val="24"/>
        </w:rPr>
        <w:t>级商服用地区域因素修正系数表</w:t>
      </w:r>
    </w:p>
    <w:tbl>
      <w:tblPr>
        <w:tblStyle w:val="88"/>
        <w:tblW w:w="4976" w:type="pct"/>
        <w:jc w:val="center"/>
        <w:tblLayout w:type="autofit"/>
        <w:tblCellMar>
          <w:top w:w="0" w:type="dxa"/>
          <w:left w:w="108" w:type="dxa"/>
          <w:bottom w:w="0" w:type="dxa"/>
          <w:right w:w="108" w:type="dxa"/>
        </w:tblCellMar>
      </w:tblPr>
      <w:tblGrid>
        <w:gridCol w:w="1288"/>
        <w:gridCol w:w="1546"/>
        <w:gridCol w:w="1546"/>
        <w:gridCol w:w="1546"/>
        <w:gridCol w:w="1546"/>
        <w:gridCol w:w="1546"/>
      </w:tblGrid>
      <w:tr>
        <w:tblPrEx>
          <w:tblCellMar>
            <w:top w:w="0" w:type="dxa"/>
            <w:left w:w="108" w:type="dxa"/>
            <w:bottom w:w="0" w:type="dxa"/>
            <w:right w:w="108" w:type="dxa"/>
          </w:tblCellMar>
        </w:tblPrEx>
        <w:trPr>
          <w:trHeight w:val="378" w:hRule="atLeast"/>
          <w:tblHeader/>
          <w:jc w:val="center"/>
        </w:trPr>
        <w:tc>
          <w:tcPr>
            <w:tcW w:w="714"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78" w:hRule="atLeast"/>
          <w:tblHeader/>
          <w:jc w:val="center"/>
        </w:trPr>
        <w:tc>
          <w:tcPr>
            <w:tcW w:w="714"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663"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距商服中心近、在农贸市场、大型宾馆区范围内，人流畅旺</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距商服中心较近、离农贸市场、宾馆区较近，人流较畅旺</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距商服中心有一定距离，与农贸市场、宾馆距离一般、人流量一般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距商服中心较远，所在地区商业气氛平淡，人流较少</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7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0.0388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0.0194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-0.0304 </w:t>
            </w:r>
          </w:p>
        </w:tc>
      </w:tr>
      <w:tr>
        <w:tblPrEx>
          <w:tblCellMar>
            <w:top w:w="0" w:type="dxa"/>
            <w:left w:w="108" w:type="dxa"/>
            <w:bottom w:w="0" w:type="dxa"/>
            <w:right w:w="108" w:type="dxa"/>
          </w:tblCellMar>
        </w:tblPrEx>
        <w:trPr>
          <w:cantSplit/>
          <w:trHeight w:val="1991"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道路通达度高，距长途汽车站近，公交便捷度高，交通方便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道路通达度较高，距长途汽车站较近，公交便捷度较高，交通较方便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道路通达度一般，距长途汽车站距离一般，公交便捷度一般，交通一般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道路通达度较低，距长途汽车站较远，公交便捷度较差，交通较差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7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0.0232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-0.0091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-0.0182 </w:t>
            </w:r>
          </w:p>
        </w:tc>
      </w:tr>
      <w:tr>
        <w:tblPrEx>
          <w:tblCellMar>
            <w:top w:w="0" w:type="dxa"/>
            <w:left w:w="108" w:type="dxa"/>
            <w:bottom w:w="0" w:type="dxa"/>
            <w:right w:w="108" w:type="dxa"/>
          </w:tblCellMar>
        </w:tblPrEx>
        <w:trPr>
          <w:trHeight w:val="2649"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市政供水、供电保证率高，排水状况好，周围学校、银行、邮电局（所）、医院等生活设施配套完备</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市政供水、供电保证率较高，排水状况较好，周围学校、银行、邮电局（所）、医院等生活设施配套较完备</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市政供水、供电保证率一般，排水状况一般，周围学校、银行、邮电局（所）、医院等生活设施配套一般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市政供水、供电保证率较低，排水状况较差，离学校、银行、邮电局（所）、医院等生活设施有一定的距离</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37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0.0206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0.0103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-0.0081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-0.0162 </w:t>
            </w:r>
          </w:p>
        </w:tc>
      </w:tr>
      <w:tr>
        <w:tblPrEx>
          <w:tblCellMar>
            <w:top w:w="0" w:type="dxa"/>
            <w:left w:w="108" w:type="dxa"/>
            <w:bottom w:w="0" w:type="dxa"/>
            <w:right w:w="108" w:type="dxa"/>
          </w:tblCellMar>
        </w:tblPrEx>
        <w:trPr>
          <w:trHeight w:val="37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人口密度高</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人口密度较高</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人口密度较低</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人口密度低</w:t>
            </w:r>
          </w:p>
        </w:tc>
      </w:tr>
      <w:tr>
        <w:tblPrEx>
          <w:tblCellMar>
            <w:top w:w="0" w:type="dxa"/>
            <w:left w:w="108" w:type="dxa"/>
            <w:bottom w:w="0" w:type="dxa"/>
            <w:right w:w="108" w:type="dxa"/>
          </w:tblCellMar>
        </w:tblPrEx>
        <w:trPr>
          <w:trHeight w:val="37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0.0083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-0.0065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r>
      <w:tr>
        <w:tblPrEx>
          <w:tblCellMar>
            <w:top w:w="0" w:type="dxa"/>
            <w:left w:w="108" w:type="dxa"/>
            <w:bottom w:w="0" w:type="dxa"/>
            <w:right w:w="108" w:type="dxa"/>
          </w:tblCellMar>
        </w:tblPrEx>
        <w:trPr>
          <w:trHeight w:val="1663"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区域内规划完善，且为重点商住规划区，近期规划前景好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区域规划较适合商住规划布局，近期规划前景较好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98"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0.0098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0.0049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-0.0039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-0.0078 </w:t>
            </w:r>
          </w:p>
        </w:tc>
      </w:tr>
    </w:tbl>
    <w:p>
      <w:pPr>
        <w:rPr>
          <w:rFonts w:hint="eastAsia" w:eastAsia="仿宋_GB2312"/>
          <w:b/>
          <w:bCs/>
          <w:color w:val="auto"/>
          <w:sz w:val="24"/>
        </w:rPr>
      </w:pPr>
      <w:r>
        <w:rPr>
          <w:rFonts w:hint="eastAsia" w:eastAsia="仿宋_GB2312"/>
          <w:b/>
          <w:bCs/>
          <w:color w:val="auto"/>
          <w:sz w:val="24"/>
        </w:rPr>
        <w:br w:type="page"/>
      </w:r>
    </w:p>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表4-1-8  八</w:t>
      </w:r>
      <w:r>
        <w:rPr>
          <w:rFonts w:eastAsia="仿宋_GB2312"/>
          <w:b/>
          <w:bCs/>
          <w:color w:val="auto"/>
          <w:sz w:val="24"/>
        </w:rPr>
        <w:t>级商服用地区域因素修正系数表</w:t>
      </w:r>
    </w:p>
    <w:tbl>
      <w:tblPr>
        <w:tblStyle w:val="88"/>
        <w:tblW w:w="4953" w:type="pct"/>
        <w:jc w:val="center"/>
        <w:tblLayout w:type="autofit"/>
        <w:tblCellMar>
          <w:top w:w="0" w:type="dxa"/>
          <w:left w:w="108" w:type="dxa"/>
          <w:bottom w:w="0" w:type="dxa"/>
          <w:right w:w="108" w:type="dxa"/>
        </w:tblCellMar>
      </w:tblPr>
      <w:tblGrid>
        <w:gridCol w:w="1281"/>
        <w:gridCol w:w="1539"/>
        <w:gridCol w:w="1539"/>
        <w:gridCol w:w="1539"/>
        <w:gridCol w:w="1539"/>
        <w:gridCol w:w="1539"/>
      </w:tblGrid>
      <w:tr>
        <w:tblPrEx>
          <w:tblCellMar>
            <w:top w:w="0" w:type="dxa"/>
            <w:left w:w="108" w:type="dxa"/>
            <w:bottom w:w="0" w:type="dxa"/>
            <w:right w:w="108" w:type="dxa"/>
          </w:tblCellMar>
        </w:tblPrEx>
        <w:trPr>
          <w:trHeight w:val="379" w:hRule="atLeast"/>
          <w:tblHeader/>
          <w:jc w:val="center"/>
        </w:trPr>
        <w:tc>
          <w:tcPr>
            <w:tcW w:w="714"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857" w:type="pct"/>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79" w:hRule="atLeast"/>
          <w:tblHeader/>
          <w:jc w:val="center"/>
        </w:trPr>
        <w:tc>
          <w:tcPr>
            <w:tcW w:w="714"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857"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702"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857" w:type="pct"/>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距商服中心近、在农贸市场、大型宾馆区范围内，人流畅旺</w:t>
            </w:r>
          </w:p>
        </w:tc>
        <w:tc>
          <w:tcPr>
            <w:tcW w:w="857" w:type="pct"/>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距商服中心较近、离农贸市场、宾馆区较近，人流较畅旺</w:t>
            </w:r>
          </w:p>
        </w:tc>
        <w:tc>
          <w:tcPr>
            <w:tcW w:w="857" w:type="pct"/>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距商服中心有一定距离，与农贸市场、宾馆距离一般、人流量一般</w:t>
            </w:r>
          </w:p>
        </w:tc>
        <w:tc>
          <w:tcPr>
            <w:tcW w:w="857" w:type="pct"/>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距商服中心较远，所在地区商业气氛平淡，人流较少</w:t>
            </w:r>
          </w:p>
        </w:tc>
        <w:tc>
          <w:tcPr>
            <w:tcW w:w="857" w:type="pct"/>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79"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0.0332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0.0166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-0.0260 </w:t>
            </w:r>
          </w:p>
        </w:tc>
      </w:tr>
      <w:tr>
        <w:tblPrEx>
          <w:tblCellMar>
            <w:top w:w="0" w:type="dxa"/>
            <w:left w:w="108" w:type="dxa"/>
            <w:bottom w:w="0" w:type="dxa"/>
            <w:right w:w="108" w:type="dxa"/>
          </w:tblCellMar>
        </w:tblPrEx>
        <w:trPr>
          <w:cantSplit/>
          <w:trHeight w:val="2040"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道路通达度高，距长途汽车站近，公交便捷度高，交通方便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道路通达度较高，距长途汽车站较近，公交便捷度较高，交通较方便</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道路通达度一般，距长途汽车站距离一般，公交便捷度一般，交通一般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道路通达度较低，距长途汽车站较远，公交便捷度较差，交通较差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79"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0.0198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0.0099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-0.0078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-0.0156 </w:t>
            </w:r>
          </w:p>
        </w:tc>
      </w:tr>
      <w:tr>
        <w:tblPrEx>
          <w:tblCellMar>
            <w:top w:w="0" w:type="dxa"/>
            <w:left w:w="108" w:type="dxa"/>
            <w:bottom w:w="0" w:type="dxa"/>
            <w:right w:w="108" w:type="dxa"/>
          </w:tblCellMar>
        </w:tblPrEx>
        <w:trPr>
          <w:trHeight w:val="2716" w:hRule="atLeast"/>
          <w:jc w:val="center"/>
        </w:trPr>
        <w:tc>
          <w:tcPr>
            <w:tcW w:w="714" w:type="pct"/>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857" w:type="pct"/>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市政供水、供电保证率高，排水状况好，周围学校、银行、邮电局（所）、医院等生活设施配套完备</w:t>
            </w:r>
          </w:p>
        </w:tc>
        <w:tc>
          <w:tcPr>
            <w:tcW w:w="857" w:type="pct"/>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市政供水、供电保证率较高，排水状况较好，周围学校、银行、邮电局（所）、医院等生活设施配套较完备</w:t>
            </w:r>
          </w:p>
        </w:tc>
        <w:tc>
          <w:tcPr>
            <w:tcW w:w="857" w:type="pct"/>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市政供水、供电保证率一般，排水状况一般，周围学校、银行、邮电局（所）、医院等生活设施配套一般</w:t>
            </w:r>
          </w:p>
        </w:tc>
        <w:tc>
          <w:tcPr>
            <w:tcW w:w="857" w:type="pct"/>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市政供水、供电保证率较低，排水状况较差，离学校、银行、邮电局（所）、医院等生活设施有一定的距离</w:t>
            </w:r>
          </w:p>
        </w:tc>
        <w:tc>
          <w:tcPr>
            <w:tcW w:w="857" w:type="pct"/>
            <w:tcBorders>
              <w:top w:val="nil"/>
              <w:left w:val="nil"/>
              <w:bottom w:val="single" w:color="auto" w:sz="4" w:space="0"/>
              <w:right w:val="single" w:color="auto" w:sz="4" w:space="0"/>
            </w:tcBorders>
            <w:vAlign w:val="center"/>
          </w:tcPr>
          <w:p>
            <w:pPr>
              <w:keepNext/>
              <w:keepLines/>
              <w:widowControl/>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379"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0.0088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-0.0070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-0.0140 </w:t>
            </w:r>
          </w:p>
        </w:tc>
      </w:tr>
      <w:tr>
        <w:tblPrEx>
          <w:tblCellMar>
            <w:top w:w="0" w:type="dxa"/>
            <w:left w:w="108" w:type="dxa"/>
            <w:bottom w:w="0" w:type="dxa"/>
            <w:right w:w="108" w:type="dxa"/>
          </w:tblCellMar>
        </w:tblPrEx>
        <w:trPr>
          <w:trHeight w:val="379" w:hRule="atLeast"/>
          <w:jc w:val="center"/>
        </w:trPr>
        <w:tc>
          <w:tcPr>
            <w:tcW w:w="714" w:type="pct"/>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人口密度高</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人口密度较高</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人口密度一般</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人口密度较低</w:t>
            </w:r>
          </w:p>
        </w:tc>
        <w:tc>
          <w:tcPr>
            <w:tcW w:w="857" w:type="pct"/>
            <w:tcBorders>
              <w:top w:val="nil"/>
              <w:left w:val="nil"/>
              <w:bottom w:val="single" w:color="auto" w:sz="4" w:space="0"/>
              <w:right w:val="single" w:color="auto" w:sz="4" w:space="0"/>
            </w:tcBorders>
            <w:vAlign w:val="center"/>
          </w:tcPr>
          <w:p>
            <w:pPr>
              <w:keepNext/>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人口密度低</w:t>
            </w:r>
          </w:p>
        </w:tc>
      </w:tr>
      <w:tr>
        <w:tblPrEx>
          <w:tblCellMar>
            <w:top w:w="0" w:type="dxa"/>
            <w:left w:w="108" w:type="dxa"/>
            <w:bottom w:w="0" w:type="dxa"/>
            <w:right w:w="108" w:type="dxa"/>
          </w:tblCellMar>
        </w:tblPrEx>
        <w:trPr>
          <w:trHeight w:val="379"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0.0142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0.0071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-0.0112 </w:t>
            </w:r>
          </w:p>
        </w:tc>
      </w:tr>
      <w:tr>
        <w:tblPrEx>
          <w:tblCellMar>
            <w:top w:w="0" w:type="dxa"/>
            <w:left w:w="108" w:type="dxa"/>
            <w:bottom w:w="0" w:type="dxa"/>
            <w:right w:w="108" w:type="dxa"/>
          </w:tblCellMar>
        </w:tblPrEx>
        <w:trPr>
          <w:trHeight w:val="1702"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区域内规划完善，且为重点商住规划区，近期规划前景好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区域规划较适合商住规划布局，近期规划前景较好</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区域规划为其他用途规划，规划前景一般</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区域规划为其他用途规划，规划前景较差</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s="宋体"/>
                <w:color w:val="auto"/>
                <w:kern w:val="0"/>
                <w:sz w:val="22"/>
                <w:szCs w:val="22"/>
              </w:rPr>
            </w:pPr>
            <w:r>
              <w:rPr>
                <w:rFonts w:hint="eastAsia"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90" w:hRule="atLeast"/>
          <w:jc w:val="center"/>
        </w:trPr>
        <w:tc>
          <w:tcPr>
            <w:tcW w:w="714" w:type="pct"/>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0.0084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0.0042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-0.0033 </w:t>
            </w:r>
          </w:p>
        </w:tc>
        <w:tc>
          <w:tcPr>
            <w:tcW w:w="857" w:type="pct"/>
            <w:tcBorders>
              <w:top w:val="nil"/>
              <w:left w:val="nil"/>
              <w:bottom w:val="single" w:color="auto" w:sz="4" w:space="0"/>
              <w:right w:val="single" w:color="auto" w:sz="4" w:space="0"/>
            </w:tcBorders>
            <w:vAlign w:val="center"/>
          </w:tcPr>
          <w:p>
            <w:pPr>
              <w:spacing w:line="240" w:lineRule="atLeast"/>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表4-1-9  九</w:t>
      </w:r>
      <w:r>
        <w:rPr>
          <w:rFonts w:eastAsia="仿宋_GB2312"/>
          <w:b/>
          <w:bCs/>
          <w:color w:val="auto"/>
          <w:sz w:val="24"/>
        </w:rPr>
        <w:t>级商服用地区域因素修正系数表</w:t>
      </w:r>
    </w:p>
    <w:tbl>
      <w:tblPr>
        <w:tblStyle w:val="88"/>
        <w:tblW w:w="9258" w:type="dxa"/>
        <w:jc w:val="center"/>
        <w:tblLayout w:type="fixed"/>
        <w:tblCellMar>
          <w:top w:w="0" w:type="dxa"/>
          <w:left w:w="108" w:type="dxa"/>
          <w:bottom w:w="0" w:type="dxa"/>
          <w:right w:w="108" w:type="dxa"/>
        </w:tblCellMar>
      </w:tblPr>
      <w:tblGrid>
        <w:gridCol w:w="1274"/>
        <w:gridCol w:w="1511"/>
        <w:gridCol w:w="1526"/>
        <w:gridCol w:w="1768"/>
        <w:gridCol w:w="1422"/>
        <w:gridCol w:w="1757"/>
      </w:tblGrid>
      <w:tr>
        <w:tblPrEx>
          <w:tblCellMar>
            <w:top w:w="0" w:type="dxa"/>
            <w:left w:w="108" w:type="dxa"/>
            <w:bottom w:w="0" w:type="dxa"/>
            <w:right w:w="108" w:type="dxa"/>
          </w:tblCellMar>
        </w:tblPrEx>
        <w:trPr>
          <w:trHeight w:val="384" w:hRule="atLeast"/>
          <w:tblHeader/>
          <w:jc w:val="center"/>
        </w:trPr>
        <w:tc>
          <w:tcPr>
            <w:tcW w:w="1274" w:type="dxa"/>
            <w:vMerge w:val="restart"/>
            <w:tcBorders>
              <w:top w:val="single" w:color="000000" w:sz="4" w:space="0"/>
              <w:left w:val="single" w:color="000000" w:sz="4" w:space="0"/>
              <w:bottom w:val="single" w:color="000000" w:sz="4" w:space="0"/>
              <w:right w:val="single" w:color="000000" w:sz="4" w:space="0"/>
              <w:tl2br w:val="single" w:color="000000" w:sz="4" w:space="0"/>
            </w:tcBorders>
            <w:vAlign w:val="center"/>
          </w:tcPr>
          <w:p>
            <w:pPr>
              <w:keepNext/>
              <w:spacing w:line="240" w:lineRule="atLeast"/>
              <w:textAlignment w:val="center"/>
              <w:rPr>
                <w:rFonts w:eastAsia="仿宋_GB2312"/>
                <w:b/>
                <w:bCs/>
                <w:color w:val="auto"/>
                <w:kern w:val="0"/>
                <w:sz w:val="22"/>
                <w:szCs w:val="22"/>
                <w:lang w:bidi="ar"/>
              </w:rPr>
            </w:pPr>
            <w:r>
              <w:rPr>
                <w:rFonts w:eastAsia="仿宋_GB2312"/>
                <w:b/>
                <w:bCs/>
                <w:color w:val="auto"/>
                <w:kern w:val="0"/>
                <w:sz w:val="22"/>
                <w:szCs w:val="22"/>
                <w:lang w:bidi="ar"/>
              </w:rPr>
              <w:t xml:space="preserve">   优劣度</w:t>
            </w:r>
            <w:r>
              <w:rPr>
                <w:rFonts w:eastAsia="仿宋_GB2312"/>
                <w:b/>
                <w:bCs/>
                <w:color w:val="auto"/>
                <w:kern w:val="0"/>
                <w:sz w:val="22"/>
                <w:szCs w:val="22"/>
                <w:lang w:bidi="ar"/>
              </w:rPr>
              <w:br w:type="textWrapping"/>
            </w:r>
          </w:p>
          <w:p>
            <w:pPr>
              <w:keepNext/>
              <w:spacing w:line="240" w:lineRule="atLeast"/>
              <w:textAlignment w:val="center"/>
              <w:rPr>
                <w:rFonts w:eastAsia="仿宋_GB2312"/>
                <w:b/>
                <w:bCs/>
                <w:color w:val="auto"/>
                <w:sz w:val="22"/>
                <w:szCs w:val="22"/>
              </w:rPr>
            </w:pPr>
            <w:r>
              <w:rPr>
                <w:rFonts w:eastAsia="仿宋_GB2312"/>
                <w:b/>
                <w:bCs/>
                <w:color w:val="auto"/>
                <w:kern w:val="0"/>
                <w:sz w:val="22"/>
                <w:szCs w:val="22"/>
                <w:lang w:bidi="ar"/>
              </w:rPr>
              <w:t>因素</w:t>
            </w:r>
          </w:p>
        </w:tc>
        <w:tc>
          <w:tcPr>
            <w:tcW w:w="1511" w:type="dxa"/>
            <w:vMerge w:val="restart"/>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优</w:t>
            </w:r>
          </w:p>
        </w:tc>
        <w:tc>
          <w:tcPr>
            <w:tcW w:w="1526" w:type="dxa"/>
            <w:vMerge w:val="restart"/>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较优</w:t>
            </w:r>
          </w:p>
        </w:tc>
        <w:tc>
          <w:tcPr>
            <w:tcW w:w="1768" w:type="dxa"/>
            <w:vMerge w:val="restart"/>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一般</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较劣</w:t>
            </w:r>
          </w:p>
        </w:tc>
        <w:tc>
          <w:tcPr>
            <w:tcW w:w="1757" w:type="dxa"/>
            <w:vMerge w:val="restart"/>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劣</w:t>
            </w:r>
          </w:p>
        </w:tc>
      </w:tr>
      <w:tr>
        <w:tblPrEx>
          <w:tblCellMar>
            <w:top w:w="0" w:type="dxa"/>
            <w:left w:w="108" w:type="dxa"/>
            <w:bottom w:w="0" w:type="dxa"/>
            <w:right w:w="108" w:type="dxa"/>
          </w:tblCellMar>
        </w:tblPrEx>
        <w:trPr>
          <w:trHeight w:val="717" w:hRule="atLeast"/>
          <w:tblHeader/>
          <w:jc w:val="center"/>
        </w:trPr>
        <w:tc>
          <w:tcPr>
            <w:tcW w:w="1274" w:type="dxa"/>
            <w:vMerge w:val="continue"/>
            <w:tcBorders>
              <w:top w:val="single" w:color="000000" w:sz="4" w:space="0"/>
              <w:left w:val="single" w:color="000000" w:sz="4" w:space="0"/>
              <w:bottom w:val="single" w:color="000000" w:sz="4" w:space="0"/>
              <w:right w:val="single" w:color="000000" w:sz="4" w:space="0"/>
              <w:tl2br w:val="single" w:color="000000" w:sz="4" w:space="0"/>
            </w:tcBorders>
            <w:vAlign w:val="center"/>
          </w:tcPr>
          <w:p>
            <w:pPr>
              <w:keepNext/>
              <w:spacing w:line="240" w:lineRule="atLeast"/>
              <w:rPr>
                <w:rFonts w:eastAsia="仿宋_GB2312"/>
                <w:b/>
                <w:bCs/>
                <w:color w:val="auto"/>
                <w:sz w:val="22"/>
                <w:szCs w:val="22"/>
              </w:rPr>
            </w:pPr>
          </w:p>
        </w:tc>
        <w:tc>
          <w:tcPr>
            <w:tcW w:w="1511" w:type="dxa"/>
            <w:vMerge w:val="continue"/>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rPr>
                <w:rFonts w:eastAsia="仿宋_GB2312"/>
                <w:b/>
                <w:bCs/>
                <w:color w:val="auto"/>
                <w:sz w:val="22"/>
                <w:szCs w:val="22"/>
              </w:rPr>
            </w:pPr>
          </w:p>
        </w:tc>
        <w:tc>
          <w:tcPr>
            <w:tcW w:w="1526" w:type="dxa"/>
            <w:vMerge w:val="continue"/>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rPr>
                <w:rFonts w:eastAsia="仿宋_GB2312"/>
                <w:b/>
                <w:bCs/>
                <w:color w:val="auto"/>
                <w:sz w:val="22"/>
                <w:szCs w:val="22"/>
              </w:rPr>
            </w:pPr>
          </w:p>
        </w:tc>
        <w:tc>
          <w:tcPr>
            <w:tcW w:w="1768" w:type="dxa"/>
            <w:vMerge w:val="continue"/>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rPr>
                <w:rFonts w:eastAsia="仿宋_GB2312"/>
                <w:b/>
                <w:bCs/>
                <w:color w:val="auto"/>
                <w:sz w:val="22"/>
                <w:szCs w:val="22"/>
              </w:rPr>
            </w:pPr>
          </w:p>
        </w:tc>
        <w:tc>
          <w:tcPr>
            <w:tcW w:w="1422" w:type="dxa"/>
            <w:vMerge w:val="continue"/>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rPr>
                <w:rFonts w:eastAsia="仿宋_GB2312"/>
                <w:b/>
                <w:bCs/>
                <w:color w:val="auto"/>
                <w:sz w:val="22"/>
                <w:szCs w:val="22"/>
              </w:rPr>
            </w:pPr>
          </w:p>
        </w:tc>
        <w:tc>
          <w:tcPr>
            <w:tcW w:w="1757" w:type="dxa"/>
            <w:vMerge w:val="continue"/>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rPr>
                <w:rFonts w:eastAsia="仿宋_GB2312"/>
                <w:b/>
                <w:bCs/>
                <w:color w:val="auto"/>
                <w:sz w:val="22"/>
                <w:szCs w:val="22"/>
              </w:rPr>
            </w:pPr>
          </w:p>
        </w:tc>
      </w:tr>
      <w:tr>
        <w:tblPrEx>
          <w:tblCellMar>
            <w:top w:w="0" w:type="dxa"/>
            <w:left w:w="108" w:type="dxa"/>
            <w:bottom w:w="0" w:type="dxa"/>
            <w:right w:w="108" w:type="dxa"/>
          </w:tblCellMar>
        </w:tblPrEx>
        <w:trPr>
          <w:trHeight w:val="156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繁华程度</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距商服中心近、在农贸市场、大型宾馆区范围内，人流畅旺</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距商服中心较近、离农贸市场、宾馆区较近，人流较畅旺</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距商服中心有一定距离，与农贸市场、宾馆距离一般、人流量一般</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距商服中心较远，所在地区商业气氛平淡，人流较少</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8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修正系数</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0.0314 </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0.0157 </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-0.0116 </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-0.0232 </w:t>
            </w:r>
          </w:p>
        </w:tc>
      </w:tr>
      <w:tr>
        <w:tblPrEx>
          <w:tblCellMar>
            <w:top w:w="0" w:type="dxa"/>
            <w:left w:w="108" w:type="dxa"/>
            <w:bottom w:w="0" w:type="dxa"/>
            <w:right w:w="108" w:type="dxa"/>
          </w:tblCellMar>
        </w:tblPrEx>
        <w:trPr>
          <w:trHeight w:val="1759"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交通条件</w:t>
            </w:r>
          </w:p>
        </w:tc>
        <w:tc>
          <w:tcPr>
            <w:tcW w:w="1511"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道路通达度高，距长途汽车站近，公交便捷度高，交通方便</w:t>
            </w:r>
          </w:p>
        </w:tc>
        <w:tc>
          <w:tcPr>
            <w:tcW w:w="1526"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道路通达度较高，距长途汽车站较近，公交便捷度较高，交通较方便</w:t>
            </w:r>
          </w:p>
        </w:tc>
        <w:tc>
          <w:tcPr>
            <w:tcW w:w="1768"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道路通达度一般，距长途汽车站距离一般，公交便捷度一般，交通一般</w:t>
            </w:r>
          </w:p>
        </w:tc>
        <w:tc>
          <w:tcPr>
            <w:tcW w:w="1422"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道路通达度较低，距长途汽车站较远，公交便捷度较差，交通较差</w:t>
            </w:r>
          </w:p>
        </w:tc>
        <w:tc>
          <w:tcPr>
            <w:tcW w:w="1757" w:type="dxa"/>
            <w:tcBorders>
              <w:top w:val="single" w:color="000000" w:sz="4" w:space="0"/>
              <w:left w:val="single" w:color="000000" w:sz="4" w:space="0"/>
              <w:bottom w:val="single" w:color="000000" w:sz="4" w:space="0"/>
              <w:right w:val="single" w:color="000000" w:sz="4" w:space="0"/>
            </w:tcBorders>
            <w:vAlign w:val="center"/>
          </w:tcPr>
          <w:p>
            <w:pPr>
              <w:keepNext/>
              <w:keepLines/>
              <w:pageBreakBefore w:val="0"/>
              <w:widowControl/>
              <w:kinsoku/>
              <w:wordWrap/>
              <w:overflowPunct/>
              <w:topLinePunct w:val="0"/>
              <w:autoSpaceDE/>
              <w:autoSpaceDN/>
              <w:bidi w:val="0"/>
              <w:adjustRightInd/>
              <w:snapToGrid/>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8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修正系数</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0.0198 </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0.0099 </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-0.0070 </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-0.0140 </w:t>
            </w:r>
          </w:p>
        </w:tc>
      </w:tr>
      <w:tr>
        <w:tblPrEx>
          <w:tblCellMar>
            <w:top w:w="0" w:type="dxa"/>
            <w:left w:w="108" w:type="dxa"/>
            <w:bottom w:w="0" w:type="dxa"/>
            <w:right w:w="108" w:type="dxa"/>
          </w:tblCellMar>
        </w:tblPrEx>
        <w:trPr>
          <w:trHeight w:val="2791"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基本设施状况</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市政供水、供电保证率高，排水状况好，周围学校、银行、邮电局（所）、医院等生活设施配套完备</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市政供水、供电保证率较高，排水状况较好，周围学校、银行、邮电局（所）、医院等生活设施配套较完备</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市政供水、供电保证率一般，排水状况一般，周围学校、银行、邮电局（所）、医院等生活设施配套一般</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市政供水、供电保证率较低，排水状况较差，离学校、银行、邮电局（所）、医院等生活设施有一定的距离</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38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修正系数</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0.0176 </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0.0088 </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-0.0062 </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-0.0124 </w:t>
            </w:r>
          </w:p>
        </w:tc>
      </w:tr>
      <w:tr>
        <w:tblPrEx>
          <w:tblCellMar>
            <w:top w:w="0" w:type="dxa"/>
            <w:left w:w="108" w:type="dxa"/>
            <w:bottom w:w="0" w:type="dxa"/>
            <w:right w:w="108" w:type="dxa"/>
          </w:tblCellMar>
        </w:tblPrEx>
        <w:trPr>
          <w:trHeight w:val="38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人口状况</w:t>
            </w:r>
          </w:p>
        </w:tc>
        <w:tc>
          <w:tcPr>
            <w:tcW w:w="1511"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人口密度高</w:t>
            </w:r>
          </w:p>
        </w:tc>
        <w:tc>
          <w:tcPr>
            <w:tcW w:w="1526"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人口密度较高</w:t>
            </w:r>
          </w:p>
        </w:tc>
        <w:tc>
          <w:tcPr>
            <w:tcW w:w="1768"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人口密度一般</w:t>
            </w:r>
          </w:p>
        </w:tc>
        <w:tc>
          <w:tcPr>
            <w:tcW w:w="1422"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人口密度较低</w:t>
            </w:r>
          </w:p>
        </w:tc>
        <w:tc>
          <w:tcPr>
            <w:tcW w:w="1757" w:type="dxa"/>
            <w:tcBorders>
              <w:top w:val="single" w:color="000000" w:sz="4" w:space="0"/>
              <w:left w:val="single" w:color="000000" w:sz="4" w:space="0"/>
              <w:bottom w:val="single" w:color="000000" w:sz="4" w:space="0"/>
              <w:right w:val="single" w:color="000000" w:sz="4" w:space="0"/>
            </w:tcBorders>
            <w:vAlign w:val="center"/>
          </w:tcPr>
          <w:p>
            <w:pPr>
              <w:keepNext/>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人口密度低</w:t>
            </w:r>
          </w:p>
        </w:tc>
      </w:tr>
      <w:tr>
        <w:tblPrEx>
          <w:tblCellMar>
            <w:top w:w="0" w:type="dxa"/>
            <w:left w:w="108" w:type="dxa"/>
            <w:bottom w:w="0" w:type="dxa"/>
            <w:right w:w="108" w:type="dxa"/>
          </w:tblCellMar>
        </w:tblPrEx>
        <w:trPr>
          <w:trHeight w:val="384"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修正系数</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0.0142 </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0.0071 </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-0.0050 </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-0.0100 </w:t>
            </w:r>
          </w:p>
        </w:tc>
      </w:tr>
      <w:tr>
        <w:tblPrEx>
          <w:tblCellMar>
            <w:top w:w="0" w:type="dxa"/>
            <w:left w:w="108" w:type="dxa"/>
            <w:bottom w:w="0" w:type="dxa"/>
            <w:right w:w="108" w:type="dxa"/>
          </w:tblCellMar>
        </w:tblPrEx>
        <w:trPr>
          <w:trHeight w:val="1568"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城镇规划</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区域内规划完善，且为重点商住规划区，近期规划前景好</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区域规划较适合商住规划布局，近期规划前景较好</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区域规划为其他用途规划，规划前景一般</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区域规划为其他用途规划，规划前景较差</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426" w:hRule="atLeast"/>
          <w:jc w:val="center"/>
        </w:trPr>
        <w:tc>
          <w:tcPr>
            <w:tcW w:w="1274"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b/>
                <w:bCs/>
                <w:color w:val="auto"/>
                <w:sz w:val="22"/>
                <w:szCs w:val="22"/>
              </w:rPr>
            </w:pPr>
            <w:r>
              <w:rPr>
                <w:rFonts w:eastAsia="仿宋_GB2312"/>
                <w:b/>
                <w:bCs/>
                <w:color w:val="auto"/>
                <w:kern w:val="0"/>
                <w:sz w:val="22"/>
                <w:szCs w:val="22"/>
                <w:lang w:bidi="ar"/>
              </w:rPr>
              <w:t>修正系数</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0.0084 </w:t>
            </w:r>
          </w:p>
        </w:tc>
        <w:tc>
          <w:tcPr>
            <w:tcW w:w="152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0.0042 </w:t>
            </w:r>
          </w:p>
        </w:tc>
        <w:tc>
          <w:tcPr>
            <w:tcW w:w="176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42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-0.0030 </w:t>
            </w:r>
          </w:p>
        </w:tc>
        <w:tc>
          <w:tcPr>
            <w:tcW w:w="17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-0.0060 </w:t>
            </w:r>
          </w:p>
        </w:tc>
      </w:tr>
    </w:tbl>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（2）容积率与楼层修正</w:t>
      </w:r>
    </w:p>
    <w:p>
      <w:pPr>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①容积率修正</w:t>
      </w:r>
    </w:p>
    <w:p>
      <w:pPr>
        <w:adjustRightInd w:val="0"/>
        <w:snapToGrid w:val="0"/>
        <w:spacing w:line="312" w:lineRule="auto"/>
        <w:jc w:val="center"/>
        <w:rPr>
          <w:rFonts w:eastAsia="仿宋_GB2312"/>
          <w:b/>
          <w:color w:val="auto"/>
          <w:sz w:val="24"/>
        </w:rPr>
      </w:pPr>
      <w:r>
        <w:rPr>
          <w:rFonts w:hint="eastAsia" w:eastAsia="仿宋_GB2312"/>
          <w:b/>
          <w:bCs/>
          <w:color w:val="auto"/>
          <w:sz w:val="24"/>
        </w:rPr>
        <w:t>表4-1-10</w:t>
      </w:r>
      <w:r>
        <w:rPr>
          <w:rFonts w:eastAsia="仿宋_GB2312"/>
          <w:b/>
          <w:bCs/>
          <w:color w:val="auto"/>
          <w:sz w:val="24"/>
        </w:rPr>
        <w:t xml:space="preserve">  </w:t>
      </w:r>
      <w:r>
        <w:rPr>
          <w:rFonts w:hint="eastAsia" w:eastAsia="仿宋_GB2312"/>
          <w:b/>
          <w:color w:val="auto"/>
          <w:sz w:val="24"/>
        </w:rPr>
        <w:t>商服用地平均楼面地价容积率修正系数表</w:t>
      </w:r>
    </w:p>
    <w:tbl>
      <w:tblPr>
        <w:tblStyle w:val="88"/>
        <w:tblW w:w="502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Layout w:type="autofit"/>
        <w:tblCellMar>
          <w:top w:w="0" w:type="dxa"/>
          <w:left w:w="108" w:type="dxa"/>
          <w:bottom w:w="0" w:type="dxa"/>
          <w:right w:w="108" w:type="dxa"/>
        </w:tblCellMar>
      </w:tblPr>
      <w:tblGrid>
        <w:gridCol w:w="1185"/>
        <w:gridCol w:w="877"/>
        <w:gridCol w:w="877"/>
        <w:gridCol w:w="879"/>
        <w:gridCol w:w="879"/>
        <w:gridCol w:w="879"/>
        <w:gridCol w:w="881"/>
        <w:gridCol w:w="881"/>
        <w:gridCol w:w="881"/>
        <w:gridCol w:w="89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1.1</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1.2</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1.3</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1.4</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1.5</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1.6</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1.7</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1.8</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1.3660</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1.3087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1.2584</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1.2139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1.1741</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1.1382</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1.1056</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1.0759</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1.0486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1.9</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2.1</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2.2</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2.3</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2.4</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2.5</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2.6</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1.0234</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1.0000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0.9730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0.9480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0.9247</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0.9029</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0.8825</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0.8634</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0.8453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2.8</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2.9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3.1</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3.2</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3.3</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3.4</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3.5</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0.8283</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0.8121</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0.7969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0.7824</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0.7686</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0.7555</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0.7429</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0.7310</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0.7195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3.7</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3.8</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3.9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4.1</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4.2</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4.3</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4.4</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0.7086</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0.6981</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0.6880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0.6783</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0.6690</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0.6600</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0.6514</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0.6430</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0.6350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4.6</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4.8</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4.9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5.0</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5.1</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5.2</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5.3</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0.6272</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0.6197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0.6125</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0.6054</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0.5986</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0.5920</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0.5856</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0.5794</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0.5734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5.5</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5.6</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5.8</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5.9</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6.0</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6.5</w:t>
            </w:r>
          </w:p>
        </w:tc>
        <w:tc>
          <w:tcPr>
            <w:tcW w:w="483"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7.0</w:t>
            </w:r>
          </w:p>
        </w:tc>
        <w:tc>
          <w:tcPr>
            <w:tcW w:w="489"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7.5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6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0.5675</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0.5618</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0.5563</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0.5509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0.5456</w:t>
            </w:r>
          </w:p>
        </w:tc>
        <w:tc>
          <w:tcPr>
            <w:tcW w:w="483" w:type="pct"/>
            <w:tcBorders>
              <w:bottom w:val="single" w:color="auto" w:sz="6" w:space="0"/>
            </w:tcBorders>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0.5405</w:t>
            </w:r>
          </w:p>
        </w:tc>
        <w:tc>
          <w:tcPr>
            <w:tcW w:w="483" w:type="pct"/>
            <w:tcBorders>
              <w:bottom w:val="single" w:color="auto" w:sz="6" w:space="0"/>
            </w:tcBorders>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0.5168</w:t>
            </w:r>
          </w:p>
        </w:tc>
        <w:tc>
          <w:tcPr>
            <w:tcW w:w="483" w:type="pct"/>
            <w:tcBorders>
              <w:bottom w:val="single" w:color="auto" w:sz="6" w:space="0"/>
            </w:tcBorders>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0.4958</w:t>
            </w:r>
          </w:p>
        </w:tc>
        <w:tc>
          <w:tcPr>
            <w:tcW w:w="489" w:type="pct"/>
            <w:tcBorders>
              <w:bottom w:val="single" w:color="auto" w:sz="6" w:space="0"/>
            </w:tcBorders>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0.4770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385"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容积率</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8.0</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8.5</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9.0</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9.5</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10.0</w:t>
            </w:r>
          </w:p>
        </w:tc>
        <w:tc>
          <w:tcPr>
            <w:tcW w:w="1939" w:type="pct"/>
            <w:gridSpan w:val="4"/>
            <w:vMerge w:val="restart"/>
            <w:tcBorders>
              <w:top w:val="single" w:color="auto" w:sz="6" w:space="0"/>
              <w:bottom w:val="single" w:color="auto" w:sz="4" w:space="0"/>
              <w:tr2bl w:val="single" w:color="auto" w:sz="6" w:space="0"/>
            </w:tcBorders>
            <w:shd w:val="clear" w:color="000000" w:fill="auto"/>
            <w:vAlign w:val="center"/>
          </w:tcPr>
          <w:p>
            <w:pPr>
              <w:spacing w:line="360" w:lineRule="exact"/>
              <w:jc w:val="center"/>
              <w:rPr>
                <w:rFonts w:eastAsia="仿宋_GB2312"/>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000000" w:fill="auto"/>
          <w:tblCellMar>
            <w:top w:w="0" w:type="dxa"/>
            <w:left w:w="108" w:type="dxa"/>
            <w:bottom w:w="0" w:type="dxa"/>
            <w:right w:w="108" w:type="dxa"/>
          </w:tblCellMar>
        </w:tblPrEx>
        <w:trPr>
          <w:trHeight w:val="740" w:hRule="atLeast"/>
          <w:jc w:val="center"/>
        </w:trPr>
        <w:tc>
          <w:tcPr>
            <w:tcW w:w="650" w:type="pct"/>
            <w:shd w:val="clear" w:color="000000" w:fill="auto"/>
            <w:noWrap/>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0.4601</w:t>
            </w:r>
          </w:p>
        </w:tc>
        <w:tc>
          <w:tcPr>
            <w:tcW w:w="481"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0.4447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0.4307</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0.4179</w:t>
            </w:r>
          </w:p>
        </w:tc>
        <w:tc>
          <w:tcPr>
            <w:tcW w:w="482" w:type="pct"/>
            <w:shd w:val="clear" w:color="000000" w:fill="auto"/>
            <w:vAlign w:val="center"/>
          </w:tcPr>
          <w:p>
            <w:pPr>
              <w:adjustRightInd w:val="0"/>
              <w:snapToGrid w:val="0"/>
              <w:spacing w:line="240" w:lineRule="auto"/>
              <w:jc w:val="center"/>
              <w:rPr>
                <w:rFonts w:eastAsia="仿宋_GB2312"/>
                <w:color w:val="auto"/>
                <w:sz w:val="24"/>
                <w:szCs w:val="20"/>
              </w:rPr>
            </w:pPr>
            <w:r>
              <w:rPr>
                <w:rFonts w:eastAsia="仿宋_GB2312"/>
                <w:color w:val="auto"/>
                <w:sz w:val="24"/>
                <w:szCs w:val="20"/>
              </w:rPr>
              <w:t>0.4060</w:t>
            </w:r>
          </w:p>
        </w:tc>
        <w:tc>
          <w:tcPr>
            <w:tcW w:w="1939" w:type="pct"/>
            <w:gridSpan w:val="4"/>
            <w:vMerge w:val="continue"/>
            <w:tcBorders>
              <w:top w:val="single" w:color="auto" w:sz="6" w:space="0"/>
              <w:bottom w:val="single" w:color="auto" w:sz="4" w:space="0"/>
              <w:tr2bl w:val="single" w:color="auto" w:sz="6" w:space="0"/>
            </w:tcBorders>
            <w:shd w:val="clear" w:color="000000" w:fill="auto"/>
            <w:vAlign w:val="center"/>
          </w:tcPr>
          <w:p>
            <w:pPr>
              <w:spacing w:line="360" w:lineRule="exact"/>
              <w:jc w:val="center"/>
              <w:rPr>
                <w:rFonts w:eastAsia="仿宋_GB2312"/>
                <w:color w:val="auto"/>
                <w:kern w:val="0"/>
                <w:sz w:val="24"/>
              </w:rPr>
            </w:pPr>
          </w:p>
        </w:tc>
      </w:tr>
    </w:tbl>
    <w:p>
      <w:pPr>
        <w:adjustRightInd w:val="0"/>
        <w:snapToGrid w:val="0"/>
        <w:spacing w:before="78" w:beforeLines="25" w:line="264" w:lineRule="auto"/>
        <w:ind w:firstLine="404" w:firstLineChars="200"/>
        <w:rPr>
          <w:rFonts w:eastAsia="仿宋_GB2312"/>
          <w:color w:val="auto"/>
          <w:spacing w:val="-4"/>
          <w:szCs w:val="21"/>
        </w:rPr>
      </w:pPr>
      <w:bookmarkStart w:id="49" w:name="_Hlk211174414"/>
      <w:r>
        <w:rPr>
          <w:rFonts w:eastAsia="仿宋_GB2312"/>
          <w:color w:val="auto"/>
          <w:spacing w:val="-4"/>
          <w:szCs w:val="21"/>
        </w:rPr>
        <w:t>注：①本表适用于待开发项目采用楼面地价测算宗地价格；</w:t>
      </w:r>
    </w:p>
    <w:p>
      <w:pPr>
        <w:adjustRightInd w:val="0"/>
        <w:snapToGrid w:val="0"/>
        <w:spacing w:before="78" w:beforeLines="25" w:line="264" w:lineRule="auto"/>
        <w:ind w:firstLine="404" w:firstLineChars="200"/>
        <w:rPr>
          <w:rFonts w:eastAsia="仿宋_GB2312"/>
          <w:color w:val="auto"/>
          <w:spacing w:val="-4"/>
          <w:szCs w:val="21"/>
        </w:rPr>
      </w:pPr>
      <w:r>
        <w:rPr>
          <w:rFonts w:eastAsia="仿宋_GB2312"/>
          <w:color w:val="auto"/>
          <w:spacing w:val="-4"/>
          <w:szCs w:val="21"/>
        </w:rPr>
        <w:t>②当宗地容积率在上述容积率之间时，容积率修正系数需根据上表有关数据线性内插计算得到。线性内插公式：当r</w:t>
      </w:r>
      <w:r>
        <w:rPr>
          <w:rFonts w:eastAsia="仿宋_GB2312"/>
          <w:color w:val="auto"/>
          <w:spacing w:val="-4"/>
          <w:szCs w:val="21"/>
          <w:vertAlign w:val="subscript"/>
        </w:rPr>
        <w:t>1</w:t>
      </w:r>
      <w:r>
        <w:rPr>
          <w:rFonts w:eastAsia="仿宋_GB2312"/>
          <w:color w:val="auto"/>
          <w:spacing w:val="-4"/>
          <w:szCs w:val="21"/>
        </w:rPr>
        <w:t>＜r＜r</w:t>
      </w:r>
      <w:r>
        <w:rPr>
          <w:rFonts w:eastAsia="仿宋_GB2312"/>
          <w:color w:val="auto"/>
          <w:spacing w:val="-4"/>
          <w:szCs w:val="21"/>
          <w:vertAlign w:val="subscript"/>
        </w:rPr>
        <w:t>2</w:t>
      </w:r>
      <w:r>
        <w:rPr>
          <w:rFonts w:eastAsia="仿宋_GB2312"/>
          <w:color w:val="auto"/>
          <w:spacing w:val="-4"/>
          <w:szCs w:val="21"/>
        </w:rPr>
        <w:t>（即r</w:t>
      </w:r>
      <w:r>
        <w:rPr>
          <w:rFonts w:eastAsia="仿宋_GB2312"/>
          <w:color w:val="auto"/>
          <w:spacing w:val="-4"/>
          <w:szCs w:val="21"/>
          <w:vertAlign w:val="subscript"/>
        </w:rPr>
        <w:t>1</w:t>
      </w:r>
      <w:r>
        <w:rPr>
          <w:rFonts w:eastAsia="仿宋_GB2312"/>
          <w:color w:val="auto"/>
          <w:spacing w:val="-4"/>
          <w:szCs w:val="21"/>
        </w:rPr>
        <w:t>、r</w:t>
      </w:r>
      <w:r>
        <w:rPr>
          <w:rFonts w:eastAsia="仿宋_GB2312"/>
          <w:color w:val="auto"/>
          <w:spacing w:val="-4"/>
          <w:szCs w:val="21"/>
          <w:vertAlign w:val="subscript"/>
        </w:rPr>
        <w:t>2</w:t>
      </w:r>
      <w:r>
        <w:rPr>
          <w:rFonts w:eastAsia="仿宋_GB2312"/>
          <w:color w:val="auto"/>
          <w:spacing w:val="-4"/>
          <w:szCs w:val="21"/>
        </w:rPr>
        <w:t>为修正系数表中r的相邻容积率）时，x</w:t>
      </w:r>
      <w:r>
        <w:rPr>
          <w:rFonts w:eastAsia="仿宋_GB2312"/>
          <w:color w:val="auto"/>
          <w:spacing w:val="-4"/>
          <w:szCs w:val="21"/>
          <w:vertAlign w:val="subscript"/>
        </w:rPr>
        <w:t>1</w:t>
      </w:r>
      <w:r>
        <w:rPr>
          <w:rFonts w:eastAsia="仿宋_GB2312"/>
          <w:color w:val="auto"/>
          <w:spacing w:val="-4"/>
          <w:szCs w:val="21"/>
        </w:rPr>
        <w:t>、x</w:t>
      </w:r>
      <w:r>
        <w:rPr>
          <w:rFonts w:eastAsia="仿宋_GB2312"/>
          <w:color w:val="auto"/>
          <w:spacing w:val="-4"/>
          <w:szCs w:val="21"/>
          <w:vertAlign w:val="subscript"/>
        </w:rPr>
        <w:t>2</w:t>
      </w:r>
      <w:r>
        <w:rPr>
          <w:rFonts w:eastAsia="仿宋_GB2312"/>
          <w:color w:val="auto"/>
          <w:spacing w:val="-4"/>
          <w:szCs w:val="21"/>
        </w:rPr>
        <w:t>为r</w:t>
      </w:r>
      <w:r>
        <w:rPr>
          <w:rFonts w:eastAsia="仿宋_GB2312"/>
          <w:color w:val="auto"/>
          <w:spacing w:val="-4"/>
          <w:szCs w:val="21"/>
          <w:vertAlign w:val="subscript"/>
        </w:rPr>
        <w:t>1</w:t>
      </w:r>
      <w:r>
        <w:rPr>
          <w:rFonts w:eastAsia="仿宋_GB2312"/>
          <w:color w:val="auto"/>
          <w:spacing w:val="-4"/>
          <w:szCs w:val="21"/>
        </w:rPr>
        <w:t>、r</w:t>
      </w:r>
      <w:r>
        <w:rPr>
          <w:rFonts w:eastAsia="仿宋_GB2312"/>
          <w:color w:val="auto"/>
          <w:spacing w:val="-4"/>
          <w:szCs w:val="21"/>
          <w:vertAlign w:val="subscript"/>
        </w:rPr>
        <w:t>2</w:t>
      </w:r>
      <w:r>
        <w:rPr>
          <w:rFonts w:eastAsia="仿宋_GB2312"/>
          <w:color w:val="auto"/>
          <w:spacing w:val="-4"/>
          <w:szCs w:val="21"/>
        </w:rPr>
        <w:t>对应的容积率修正系数，容积率的修正系数：x=x</w:t>
      </w:r>
      <w:r>
        <w:rPr>
          <w:rFonts w:eastAsia="仿宋_GB2312"/>
          <w:color w:val="auto"/>
          <w:spacing w:val="-4"/>
          <w:szCs w:val="21"/>
          <w:vertAlign w:val="subscript"/>
        </w:rPr>
        <w:t>1</w:t>
      </w:r>
      <w:r>
        <w:rPr>
          <w:rFonts w:eastAsia="仿宋_GB2312"/>
          <w:color w:val="auto"/>
          <w:spacing w:val="-4"/>
          <w:szCs w:val="21"/>
        </w:rPr>
        <w:t>+（x</w:t>
      </w:r>
      <w:r>
        <w:rPr>
          <w:rFonts w:eastAsia="仿宋_GB2312"/>
          <w:color w:val="auto"/>
          <w:spacing w:val="-4"/>
          <w:szCs w:val="21"/>
          <w:vertAlign w:val="subscript"/>
        </w:rPr>
        <w:t>2</w:t>
      </w:r>
      <w:r>
        <w:rPr>
          <w:rFonts w:eastAsia="仿宋_GB2312"/>
          <w:color w:val="auto"/>
          <w:spacing w:val="-4"/>
          <w:szCs w:val="21"/>
        </w:rPr>
        <w:t>-x</w:t>
      </w:r>
      <w:r>
        <w:rPr>
          <w:rFonts w:eastAsia="仿宋_GB2312"/>
          <w:color w:val="auto"/>
          <w:spacing w:val="-4"/>
          <w:szCs w:val="21"/>
          <w:vertAlign w:val="subscript"/>
        </w:rPr>
        <w:t>1</w:t>
      </w:r>
      <w:r>
        <w:rPr>
          <w:rFonts w:eastAsia="仿宋_GB2312"/>
          <w:color w:val="auto"/>
          <w:spacing w:val="-4"/>
          <w:szCs w:val="21"/>
        </w:rPr>
        <w:t>）×（r-r</w:t>
      </w:r>
      <w:r>
        <w:rPr>
          <w:rFonts w:eastAsia="仿宋_GB2312"/>
          <w:color w:val="auto"/>
          <w:spacing w:val="-4"/>
          <w:szCs w:val="21"/>
          <w:vertAlign w:val="subscript"/>
        </w:rPr>
        <w:t>1</w:t>
      </w:r>
      <w:r>
        <w:rPr>
          <w:rFonts w:eastAsia="仿宋_GB2312"/>
          <w:color w:val="auto"/>
          <w:spacing w:val="-4"/>
          <w:szCs w:val="21"/>
        </w:rPr>
        <w:t>）/（r</w:t>
      </w:r>
      <w:r>
        <w:rPr>
          <w:rFonts w:eastAsia="仿宋_GB2312"/>
          <w:color w:val="auto"/>
          <w:spacing w:val="-4"/>
          <w:szCs w:val="21"/>
          <w:vertAlign w:val="subscript"/>
        </w:rPr>
        <w:t>2</w:t>
      </w:r>
      <w:r>
        <w:rPr>
          <w:rFonts w:eastAsia="仿宋_GB2312"/>
          <w:color w:val="auto"/>
          <w:spacing w:val="-4"/>
          <w:szCs w:val="21"/>
        </w:rPr>
        <w:t>-r</w:t>
      </w:r>
      <w:r>
        <w:rPr>
          <w:rFonts w:eastAsia="仿宋_GB2312"/>
          <w:color w:val="auto"/>
          <w:spacing w:val="-4"/>
          <w:szCs w:val="21"/>
          <w:vertAlign w:val="subscript"/>
        </w:rPr>
        <w:t>1</w:t>
      </w:r>
      <w:r>
        <w:rPr>
          <w:rFonts w:eastAsia="仿宋_GB2312"/>
          <w:color w:val="auto"/>
          <w:spacing w:val="-4"/>
          <w:szCs w:val="21"/>
        </w:rPr>
        <w:t>）;</w:t>
      </w:r>
    </w:p>
    <w:p>
      <w:pPr>
        <w:adjustRightInd w:val="0"/>
        <w:snapToGrid w:val="0"/>
        <w:spacing w:before="78" w:beforeLines="25" w:line="264" w:lineRule="auto"/>
        <w:ind w:firstLine="404" w:firstLineChars="200"/>
        <w:rPr>
          <w:rFonts w:eastAsia="仿宋_GB2312"/>
          <w:color w:val="auto"/>
          <w:spacing w:val="-4"/>
          <w:szCs w:val="21"/>
        </w:rPr>
      </w:pPr>
      <w:r>
        <w:rPr>
          <w:rFonts w:eastAsia="仿宋_GB2312"/>
          <w:color w:val="auto"/>
          <w:spacing w:val="-4"/>
          <w:szCs w:val="21"/>
        </w:rPr>
        <w:t>③待估价宗地为商住用地等情况时，应分开测算商服用地所分摊的建筑面积。此时商服用地总地价=商服用地楼面单价×商服用地（所分摊的）建筑面积；</w:t>
      </w:r>
    </w:p>
    <w:p>
      <w:pPr>
        <w:adjustRightInd w:val="0"/>
        <w:snapToGrid w:val="0"/>
        <w:spacing w:before="78" w:beforeLines="25" w:line="264" w:lineRule="auto"/>
        <w:ind w:firstLine="404" w:firstLineChars="200"/>
        <w:rPr>
          <w:rFonts w:eastAsia="仿宋_GB2312"/>
          <w:color w:val="auto"/>
          <w:spacing w:val="-4"/>
          <w:szCs w:val="21"/>
        </w:rPr>
      </w:pPr>
      <w:r>
        <w:rPr>
          <w:rFonts w:eastAsia="仿宋_GB2312"/>
          <w:color w:val="auto"/>
          <w:spacing w:val="-4"/>
          <w:szCs w:val="21"/>
        </w:rPr>
        <w:t>④待估价宗地为商住用地等情况时，若商服用地分摊的建筑面积占比（≤30%）较小且其主导使用性质为商业设施用地（B1）或分摊商服用地为批发零售</w:t>
      </w:r>
      <w:r>
        <w:rPr>
          <w:rFonts w:hint="eastAsia" w:eastAsia="仿宋_GB2312"/>
          <w:color w:val="auto"/>
          <w:spacing w:val="-4"/>
          <w:szCs w:val="21"/>
        </w:rPr>
        <w:t>商业</w:t>
      </w:r>
      <w:r>
        <w:rPr>
          <w:rFonts w:eastAsia="仿宋_GB2312"/>
          <w:color w:val="auto"/>
          <w:spacing w:val="-4"/>
          <w:szCs w:val="21"/>
        </w:rPr>
        <w:t>用地时，容积率修正系数应按分摊后的商服用地容积率选用；若商服用地分摊的建筑面积占比（＞30%）较大时（不含批发零售类商服用地），容积率修正系数应按综合容积率选用。</w:t>
      </w:r>
    </w:p>
    <w:bookmarkEnd w:id="49"/>
    <w:p>
      <w:pPr>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②楼层修正系数</w:t>
      </w:r>
    </w:p>
    <w:p>
      <w:pPr>
        <w:adjustRightInd w:val="0"/>
        <w:snapToGrid w:val="0"/>
        <w:spacing w:line="312" w:lineRule="auto"/>
        <w:jc w:val="center"/>
        <w:rPr>
          <w:rFonts w:eastAsia="仿宋_GB2312"/>
          <w:b/>
          <w:bCs/>
          <w:color w:val="auto"/>
          <w:sz w:val="24"/>
        </w:rPr>
      </w:pPr>
      <w:bookmarkStart w:id="50" w:name="OLE_LINK10"/>
      <w:r>
        <w:rPr>
          <w:rFonts w:hint="eastAsia" w:eastAsia="仿宋_GB2312"/>
          <w:b/>
          <w:bCs/>
          <w:color w:val="auto"/>
          <w:sz w:val="24"/>
        </w:rPr>
        <w:t>表4-1-11</w:t>
      </w:r>
      <w:r>
        <w:rPr>
          <w:rFonts w:eastAsia="仿宋_GB2312"/>
          <w:b/>
          <w:bCs/>
          <w:color w:val="auto"/>
          <w:sz w:val="24"/>
        </w:rPr>
        <w:t xml:space="preserve">  </w:t>
      </w:r>
      <w:r>
        <w:rPr>
          <w:rFonts w:hint="eastAsia" w:eastAsia="仿宋_GB2312"/>
          <w:b/>
          <w:color w:val="auto"/>
          <w:sz w:val="24"/>
        </w:rPr>
        <w:t>商服用地平均楼面地价楼层修正</w:t>
      </w:r>
      <w:r>
        <w:rPr>
          <w:rFonts w:hint="eastAsia" w:eastAsia="仿宋_GB2312"/>
          <w:b/>
          <w:bCs/>
          <w:color w:val="auto"/>
          <w:sz w:val="24"/>
        </w:rPr>
        <w:t>系数表</w:t>
      </w:r>
    </w:p>
    <w:tbl>
      <w:tblPr>
        <w:tblStyle w:val="88"/>
        <w:tblW w:w="48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289"/>
        <w:gridCol w:w="2114"/>
        <w:gridCol w:w="2116"/>
        <w:gridCol w:w="1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08"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color w:val="auto"/>
                <w:kern w:val="0"/>
                <w:sz w:val="24"/>
                <w:szCs w:val="21"/>
              </w:rPr>
              <w:t>楼层</w:t>
            </w:r>
          </w:p>
        </w:tc>
        <w:tc>
          <w:tcPr>
            <w:tcW w:w="734"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bCs/>
                <w:color w:val="auto"/>
                <w:kern w:val="0"/>
                <w:sz w:val="24"/>
              </w:rPr>
              <w:t>首层</w:t>
            </w:r>
          </w:p>
        </w:tc>
        <w:tc>
          <w:tcPr>
            <w:tcW w:w="1204"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bCs/>
                <w:color w:val="auto"/>
                <w:kern w:val="0"/>
                <w:sz w:val="24"/>
              </w:rPr>
              <w:t>第二层</w:t>
            </w:r>
            <w:r>
              <w:rPr>
                <w:rFonts w:hint="eastAsia" w:eastAsia="仿宋_GB2312"/>
                <w:b/>
                <w:bCs/>
                <w:color w:val="auto"/>
                <w:kern w:val="0"/>
                <w:sz w:val="24"/>
              </w:rPr>
              <w:t>及负一层</w:t>
            </w:r>
          </w:p>
        </w:tc>
        <w:tc>
          <w:tcPr>
            <w:tcW w:w="1205"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bCs/>
                <w:color w:val="auto"/>
                <w:kern w:val="0"/>
                <w:sz w:val="24"/>
              </w:rPr>
              <w:t>第三</w:t>
            </w:r>
            <w:r>
              <w:rPr>
                <w:rFonts w:hint="eastAsia" w:eastAsia="仿宋_GB2312"/>
                <w:b/>
                <w:bCs/>
                <w:color w:val="auto"/>
                <w:kern w:val="0"/>
                <w:sz w:val="24"/>
              </w:rPr>
              <w:t>层及负二层</w:t>
            </w:r>
          </w:p>
        </w:tc>
        <w:tc>
          <w:tcPr>
            <w:tcW w:w="1047"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bCs/>
                <w:color w:val="auto"/>
                <w:kern w:val="0"/>
                <w:sz w:val="24"/>
              </w:rPr>
              <w:t>第四层</w:t>
            </w:r>
            <w:r>
              <w:rPr>
                <w:rFonts w:hint="eastAsia" w:eastAsia="仿宋_GB2312"/>
                <w:b/>
                <w:bCs/>
                <w:color w:val="auto"/>
                <w:kern w:val="0"/>
                <w:sz w:val="24"/>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08"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b/>
                <w:color w:val="auto"/>
                <w:kern w:val="0"/>
                <w:sz w:val="24"/>
                <w:szCs w:val="21"/>
              </w:rPr>
            </w:pPr>
            <w:r>
              <w:rPr>
                <w:rFonts w:eastAsia="仿宋_GB2312"/>
                <w:b/>
                <w:color w:val="auto"/>
                <w:kern w:val="0"/>
                <w:sz w:val="24"/>
                <w:szCs w:val="21"/>
              </w:rPr>
              <w:t>修正系数</w:t>
            </w:r>
          </w:p>
        </w:tc>
        <w:tc>
          <w:tcPr>
            <w:tcW w:w="734"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color w:val="auto"/>
                <w:kern w:val="0"/>
                <w:sz w:val="24"/>
              </w:rPr>
            </w:pPr>
            <w:r>
              <w:rPr>
                <w:rFonts w:eastAsia="仿宋_GB2312"/>
                <w:color w:val="auto"/>
                <w:sz w:val="24"/>
                <w:szCs w:val="22"/>
              </w:rPr>
              <w:t>1.70-2.29</w:t>
            </w:r>
          </w:p>
        </w:tc>
        <w:tc>
          <w:tcPr>
            <w:tcW w:w="1204"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color w:val="auto"/>
                <w:kern w:val="0"/>
                <w:sz w:val="24"/>
              </w:rPr>
            </w:pPr>
            <w:r>
              <w:rPr>
                <w:rFonts w:eastAsia="仿宋_GB2312"/>
                <w:color w:val="auto"/>
                <w:sz w:val="24"/>
                <w:szCs w:val="22"/>
              </w:rPr>
              <w:t>0.69-0.85</w:t>
            </w:r>
          </w:p>
        </w:tc>
        <w:tc>
          <w:tcPr>
            <w:tcW w:w="1205"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color w:val="auto"/>
                <w:kern w:val="0"/>
                <w:sz w:val="24"/>
              </w:rPr>
            </w:pPr>
            <w:r>
              <w:rPr>
                <w:rFonts w:eastAsia="仿宋_GB2312"/>
                <w:color w:val="auto"/>
                <w:sz w:val="24"/>
                <w:szCs w:val="22"/>
              </w:rPr>
              <w:t>0.57-0.77</w:t>
            </w:r>
          </w:p>
        </w:tc>
        <w:tc>
          <w:tcPr>
            <w:tcW w:w="1047" w:type="pc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eastAsia="仿宋_GB2312"/>
                <w:color w:val="auto"/>
                <w:kern w:val="0"/>
                <w:sz w:val="24"/>
              </w:rPr>
            </w:pPr>
            <w:r>
              <w:rPr>
                <w:rFonts w:eastAsia="仿宋_GB2312"/>
                <w:color w:val="auto"/>
                <w:sz w:val="24"/>
                <w:szCs w:val="22"/>
              </w:rPr>
              <w:t>0.46-0.68</w:t>
            </w:r>
          </w:p>
        </w:tc>
      </w:tr>
      <w:bookmarkEnd w:id="50"/>
    </w:tbl>
    <w:p>
      <w:pPr>
        <w:adjustRightInd w:val="0"/>
        <w:snapToGrid w:val="0"/>
        <w:spacing w:line="264" w:lineRule="auto"/>
        <w:ind w:firstLine="404" w:firstLineChars="200"/>
        <w:rPr>
          <w:rFonts w:hint="eastAsia" w:eastAsia="仿宋_GB2312"/>
          <w:color w:val="auto"/>
          <w:spacing w:val="-4"/>
          <w:szCs w:val="21"/>
          <w:lang w:eastAsia="zh-CN"/>
        </w:rPr>
      </w:pPr>
      <w:r>
        <w:rPr>
          <w:rFonts w:eastAsia="仿宋_GB2312"/>
          <w:color w:val="auto"/>
          <w:spacing w:val="-4"/>
          <w:szCs w:val="21"/>
        </w:rPr>
        <w:t>注：①本表适用于已建成项目或已有详细规划指标且有商业楼层分布依据的零售商业、批发市场用地待开发项目宜采用楼面地价测算宗地价格</w:t>
      </w:r>
      <w:r>
        <w:rPr>
          <w:rFonts w:hint="eastAsia" w:eastAsia="仿宋_GB2312"/>
          <w:color w:val="auto"/>
          <w:spacing w:val="-4"/>
          <w:szCs w:val="21"/>
          <w:lang w:eastAsia="zh-CN"/>
        </w:rPr>
        <w:t>。</w:t>
      </w:r>
    </w:p>
    <w:p>
      <w:pPr>
        <w:adjustRightInd w:val="0"/>
        <w:snapToGrid w:val="0"/>
        <w:spacing w:line="264" w:lineRule="auto"/>
        <w:ind w:firstLine="404" w:firstLineChars="200"/>
        <w:rPr>
          <w:rFonts w:hint="eastAsia" w:eastAsia="仿宋_GB2312"/>
          <w:color w:val="auto"/>
          <w:spacing w:val="-4"/>
          <w:szCs w:val="21"/>
        </w:rPr>
      </w:pPr>
      <w:r>
        <w:rPr>
          <w:rFonts w:eastAsia="仿宋_GB2312"/>
          <w:color w:val="auto"/>
          <w:spacing w:val="-4"/>
          <w:szCs w:val="21"/>
        </w:rPr>
        <w:t>②修正后得到的结果是第n层的楼面地价。在具体宗地评估中，评估专业人员应根据待估宗地实际开发情况自行确定修正系数，如无特殊因素影响，楼层越高修正系数越低</w:t>
      </w:r>
      <w:r>
        <w:rPr>
          <w:rFonts w:hint="eastAsia" w:eastAsia="仿宋_GB2312"/>
          <w:color w:val="auto"/>
          <w:spacing w:val="-4"/>
          <w:szCs w:val="21"/>
        </w:rPr>
        <w:t>。</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（3）剩余使用年期修正</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使用按照土地还原率为6.50%，法定最高出让年期为40年，计算商服用地使用年期修正系数。剩余使用年期修正系数计算公式如下：</w:t>
      </w:r>
    </w:p>
    <w:p>
      <w:pPr>
        <w:adjustRightInd w:val="0"/>
        <w:snapToGrid w:val="0"/>
        <w:spacing w:line="312" w:lineRule="auto"/>
        <w:jc w:val="center"/>
        <w:rPr>
          <w:rFonts w:eastAsia="仿宋_GB2312"/>
          <w:i/>
          <w:color w:val="auto"/>
          <w:sz w:val="24"/>
        </w:rPr>
      </w:pPr>
      <w:r>
        <w:rPr>
          <w:rFonts w:eastAsia="仿宋_GB2312"/>
          <w:color w:val="auto"/>
          <w:position w:val="-30"/>
          <w:sz w:val="24"/>
        </w:rPr>
        <w:drawing>
          <wp:inline distT="0" distB="0" distL="0" distR="0">
            <wp:extent cx="1333500" cy="476250"/>
            <wp:effectExtent l="0" t="0" r="0" b="0"/>
            <wp:docPr id="12"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1333500" cy="476250"/>
                    </a:xfrm>
                    <a:prstGeom prst="rect">
                      <a:avLst/>
                    </a:prstGeom>
                    <a:noFill/>
                    <a:ln>
                      <a:noFill/>
                    </a:ln>
                  </pic:spPr>
                </pic:pic>
              </a:graphicData>
            </a:graphic>
          </wp:inline>
        </w:drawing>
      </w:r>
    </w:p>
    <w:p>
      <w:pPr>
        <w:adjustRightInd w:val="0"/>
        <w:snapToGrid w:val="0"/>
        <w:spacing w:line="312" w:lineRule="auto"/>
        <w:ind w:firstLine="480" w:firstLineChars="200"/>
        <w:rPr>
          <w:rFonts w:eastAsia="仿宋_GB2312"/>
          <w:color w:val="auto"/>
          <w:sz w:val="24"/>
        </w:rPr>
      </w:pPr>
      <w:r>
        <w:rPr>
          <w:rFonts w:eastAsia="仿宋_GB2312"/>
          <w:color w:val="auto"/>
          <w:sz w:val="24"/>
        </w:rPr>
        <w:t>式中：</w:t>
      </w:r>
    </w:p>
    <w:tbl>
      <w:tblPr>
        <w:tblStyle w:val="88"/>
        <w:tblW w:w="7020" w:type="dxa"/>
        <w:tblInd w:w="1008" w:type="dxa"/>
        <w:tblLayout w:type="fixed"/>
        <w:tblCellMar>
          <w:top w:w="0" w:type="dxa"/>
          <w:left w:w="108" w:type="dxa"/>
          <w:bottom w:w="0" w:type="dxa"/>
          <w:right w:w="108" w:type="dxa"/>
        </w:tblCellMar>
      </w:tblPr>
      <w:tblGrid>
        <w:gridCol w:w="521"/>
        <w:gridCol w:w="696"/>
        <w:gridCol w:w="5803"/>
      </w:tblGrid>
      <w:tr>
        <w:tblPrEx>
          <w:tblCellMar>
            <w:top w:w="0" w:type="dxa"/>
            <w:left w:w="108" w:type="dxa"/>
            <w:bottom w:w="0" w:type="dxa"/>
            <w:right w:w="108" w:type="dxa"/>
          </w:tblCellMar>
        </w:tblPrEx>
        <w:trPr>
          <w:trHeight w:val="340" w:hRule="atLeast"/>
        </w:trPr>
        <w:tc>
          <w:tcPr>
            <w:tcW w:w="521" w:type="dxa"/>
          </w:tcPr>
          <w:p>
            <w:pPr>
              <w:adjustRightInd w:val="0"/>
              <w:snapToGrid w:val="0"/>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96" w:type="dxa"/>
          </w:tcPr>
          <w:p>
            <w:pPr>
              <w:adjustRightInd w:val="0"/>
              <w:snapToGrid w:val="0"/>
              <w:rPr>
                <w:rFonts w:eastAsia="仿宋_GB2312"/>
                <w:i/>
                <w:color w:val="auto"/>
                <w:sz w:val="24"/>
              </w:rPr>
            </w:pPr>
            <w:r>
              <w:rPr>
                <w:rFonts w:eastAsia="仿宋_GB2312"/>
                <w:i/>
                <w:color w:val="auto"/>
                <w:sz w:val="24"/>
              </w:rPr>
              <w:t>——</w:t>
            </w:r>
          </w:p>
        </w:tc>
        <w:tc>
          <w:tcPr>
            <w:tcW w:w="5803" w:type="dxa"/>
          </w:tcPr>
          <w:p>
            <w:pPr>
              <w:adjustRightInd w:val="0"/>
              <w:snapToGrid w:val="0"/>
              <w:rPr>
                <w:rFonts w:eastAsia="仿宋_GB2312"/>
                <w:color w:val="auto"/>
                <w:sz w:val="24"/>
              </w:rPr>
            </w:pPr>
            <w:r>
              <w:rPr>
                <w:rFonts w:hint="eastAsia" w:eastAsia="仿宋_GB2312"/>
                <w:color w:val="auto"/>
                <w:sz w:val="24"/>
              </w:rPr>
              <w:t>剩余</w:t>
            </w:r>
            <w:r>
              <w:rPr>
                <w:rFonts w:eastAsia="仿宋_GB2312"/>
                <w:color w:val="auto"/>
                <w:sz w:val="24"/>
              </w:rPr>
              <w:t>使用年期修正系数</w:t>
            </w:r>
          </w:p>
        </w:tc>
      </w:tr>
      <w:tr>
        <w:tblPrEx>
          <w:tblCellMar>
            <w:top w:w="0" w:type="dxa"/>
            <w:left w:w="108" w:type="dxa"/>
            <w:bottom w:w="0" w:type="dxa"/>
            <w:right w:w="108" w:type="dxa"/>
          </w:tblCellMar>
        </w:tblPrEx>
        <w:trPr>
          <w:trHeight w:val="340" w:hRule="atLeast"/>
        </w:trPr>
        <w:tc>
          <w:tcPr>
            <w:tcW w:w="521" w:type="dxa"/>
          </w:tcPr>
          <w:p>
            <w:pPr>
              <w:adjustRightInd w:val="0"/>
              <w:snapToGrid w:val="0"/>
              <w:rPr>
                <w:rFonts w:eastAsia="仿宋_GB2312"/>
                <w:i/>
                <w:color w:val="auto"/>
                <w:sz w:val="24"/>
              </w:rPr>
            </w:pPr>
            <w:r>
              <w:rPr>
                <w:rFonts w:eastAsia="仿宋_GB2312"/>
                <w:i/>
                <w:color w:val="auto"/>
                <w:sz w:val="24"/>
              </w:rPr>
              <w:t>ml</w:t>
            </w:r>
          </w:p>
        </w:tc>
        <w:tc>
          <w:tcPr>
            <w:tcW w:w="696" w:type="dxa"/>
          </w:tcPr>
          <w:p>
            <w:pPr>
              <w:adjustRightInd w:val="0"/>
              <w:snapToGrid w:val="0"/>
              <w:rPr>
                <w:rFonts w:eastAsia="仿宋_GB2312"/>
                <w:i/>
                <w:color w:val="auto"/>
                <w:sz w:val="24"/>
              </w:rPr>
            </w:pPr>
            <w:r>
              <w:rPr>
                <w:rFonts w:eastAsia="仿宋_GB2312"/>
                <w:i/>
                <w:color w:val="auto"/>
                <w:sz w:val="24"/>
              </w:rPr>
              <w:t>——</w:t>
            </w:r>
          </w:p>
        </w:tc>
        <w:tc>
          <w:tcPr>
            <w:tcW w:w="5803" w:type="dxa"/>
          </w:tcPr>
          <w:p>
            <w:pPr>
              <w:adjustRightInd w:val="0"/>
              <w:snapToGrid w:val="0"/>
              <w:rPr>
                <w:rFonts w:eastAsia="仿宋_GB2312"/>
                <w:color w:val="auto"/>
                <w:sz w:val="24"/>
              </w:rPr>
            </w:pPr>
            <w:r>
              <w:rPr>
                <w:rFonts w:eastAsia="仿宋_GB2312"/>
                <w:color w:val="auto"/>
                <w:sz w:val="24"/>
              </w:rPr>
              <w:t>实际出让年期</w:t>
            </w:r>
          </w:p>
        </w:tc>
      </w:tr>
      <w:tr>
        <w:tblPrEx>
          <w:tblCellMar>
            <w:top w:w="0" w:type="dxa"/>
            <w:left w:w="108" w:type="dxa"/>
            <w:bottom w:w="0" w:type="dxa"/>
            <w:right w:w="108" w:type="dxa"/>
          </w:tblCellMar>
        </w:tblPrEx>
        <w:trPr>
          <w:trHeight w:val="340" w:hRule="atLeast"/>
        </w:trPr>
        <w:tc>
          <w:tcPr>
            <w:tcW w:w="521" w:type="dxa"/>
          </w:tcPr>
          <w:p>
            <w:pPr>
              <w:adjustRightInd w:val="0"/>
              <w:snapToGrid w:val="0"/>
              <w:rPr>
                <w:rFonts w:eastAsia="仿宋_GB2312"/>
                <w:i/>
                <w:color w:val="auto"/>
                <w:sz w:val="24"/>
              </w:rPr>
            </w:pPr>
            <w:r>
              <w:rPr>
                <w:rFonts w:eastAsia="仿宋_GB2312"/>
                <w:i/>
                <w:color w:val="auto"/>
                <w:sz w:val="24"/>
              </w:rPr>
              <w:t>m</w:t>
            </w:r>
          </w:p>
        </w:tc>
        <w:tc>
          <w:tcPr>
            <w:tcW w:w="696" w:type="dxa"/>
          </w:tcPr>
          <w:p>
            <w:pPr>
              <w:adjustRightInd w:val="0"/>
              <w:snapToGrid w:val="0"/>
              <w:rPr>
                <w:rFonts w:eastAsia="仿宋_GB2312"/>
                <w:i/>
                <w:color w:val="auto"/>
                <w:sz w:val="24"/>
              </w:rPr>
            </w:pPr>
            <w:r>
              <w:rPr>
                <w:rFonts w:eastAsia="仿宋_GB2312"/>
                <w:i/>
                <w:color w:val="auto"/>
                <w:sz w:val="24"/>
              </w:rPr>
              <w:t>——</w:t>
            </w:r>
          </w:p>
        </w:tc>
        <w:tc>
          <w:tcPr>
            <w:tcW w:w="5803" w:type="dxa"/>
          </w:tcPr>
          <w:p>
            <w:pPr>
              <w:adjustRightInd w:val="0"/>
              <w:snapToGrid w:val="0"/>
              <w:rPr>
                <w:rFonts w:eastAsia="仿宋_GB2312"/>
                <w:color w:val="auto"/>
                <w:sz w:val="24"/>
              </w:rPr>
            </w:pPr>
            <w:r>
              <w:rPr>
                <w:rFonts w:eastAsia="仿宋_GB2312"/>
                <w:color w:val="auto"/>
                <w:sz w:val="24"/>
              </w:rPr>
              <w:t>土地使用权法定最高出让年限</w:t>
            </w:r>
          </w:p>
        </w:tc>
      </w:tr>
      <w:tr>
        <w:tblPrEx>
          <w:tblCellMar>
            <w:top w:w="0" w:type="dxa"/>
            <w:left w:w="108" w:type="dxa"/>
            <w:bottom w:w="0" w:type="dxa"/>
            <w:right w:w="108" w:type="dxa"/>
          </w:tblCellMar>
        </w:tblPrEx>
        <w:trPr>
          <w:trHeight w:val="340" w:hRule="atLeast"/>
        </w:trPr>
        <w:tc>
          <w:tcPr>
            <w:tcW w:w="521" w:type="dxa"/>
          </w:tcPr>
          <w:p>
            <w:pPr>
              <w:adjustRightInd w:val="0"/>
              <w:snapToGrid w:val="0"/>
              <w:rPr>
                <w:rFonts w:eastAsia="仿宋_GB2312"/>
                <w:i/>
                <w:color w:val="auto"/>
                <w:sz w:val="24"/>
              </w:rPr>
            </w:pPr>
            <w:r>
              <w:rPr>
                <w:rFonts w:eastAsia="仿宋_GB2312"/>
                <w:i/>
                <w:color w:val="auto"/>
                <w:sz w:val="24"/>
              </w:rPr>
              <w:t>r</w:t>
            </w:r>
          </w:p>
        </w:tc>
        <w:tc>
          <w:tcPr>
            <w:tcW w:w="696" w:type="dxa"/>
          </w:tcPr>
          <w:p>
            <w:pPr>
              <w:adjustRightInd w:val="0"/>
              <w:snapToGrid w:val="0"/>
              <w:rPr>
                <w:rFonts w:eastAsia="仿宋_GB2312"/>
                <w:i/>
                <w:color w:val="auto"/>
                <w:sz w:val="24"/>
              </w:rPr>
            </w:pPr>
            <w:r>
              <w:rPr>
                <w:rFonts w:eastAsia="仿宋_GB2312"/>
                <w:i/>
                <w:color w:val="auto"/>
                <w:sz w:val="24"/>
              </w:rPr>
              <w:t>——</w:t>
            </w:r>
          </w:p>
        </w:tc>
        <w:tc>
          <w:tcPr>
            <w:tcW w:w="5803" w:type="dxa"/>
          </w:tcPr>
          <w:p>
            <w:pPr>
              <w:adjustRightInd w:val="0"/>
              <w:snapToGrid w:val="0"/>
              <w:rPr>
                <w:rFonts w:eastAsia="仿宋_GB2312"/>
                <w:color w:val="auto"/>
                <w:sz w:val="24"/>
              </w:rPr>
            </w:pPr>
            <w:r>
              <w:rPr>
                <w:rFonts w:eastAsia="仿宋_GB2312"/>
                <w:color w:val="auto"/>
                <w:sz w:val="24"/>
              </w:rPr>
              <w:t>土地还原率</w:t>
            </w:r>
          </w:p>
        </w:tc>
      </w:tr>
    </w:tbl>
    <w:p>
      <w:pPr>
        <w:jc w:val="center"/>
        <w:rPr>
          <w:rFonts w:eastAsia="仿宋_GB2312"/>
          <w:b/>
          <w:color w:val="auto"/>
          <w:sz w:val="24"/>
        </w:rPr>
      </w:pPr>
      <w:r>
        <w:rPr>
          <w:rFonts w:hint="eastAsia" w:eastAsia="仿宋_GB2312"/>
          <w:b/>
          <w:bCs/>
          <w:color w:val="auto"/>
          <w:sz w:val="24"/>
        </w:rPr>
        <w:t>表4-1-12</w:t>
      </w:r>
      <w:r>
        <w:rPr>
          <w:rFonts w:eastAsia="仿宋_GB2312"/>
          <w:b/>
          <w:color w:val="auto"/>
          <w:sz w:val="24"/>
        </w:rPr>
        <w:t xml:space="preserve"> 商服用地</w:t>
      </w:r>
      <w:r>
        <w:rPr>
          <w:rFonts w:hint="eastAsia" w:eastAsia="仿宋_GB2312"/>
          <w:b/>
          <w:color w:val="auto"/>
          <w:sz w:val="24"/>
        </w:rPr>
        <w:t>剩余</w:t>
      </w:r>
      <w:r>
        <w:rPr>
          <w:rFonts w:eastAsia="仿宋_GB2312"/>
          <w:b/>
          <w:bCs/>
          <w:color w:val="auto"/>
          <w:sz w:val="24"/>
        </w:rPr>
        <w:t>使用</w:t>
      </w:r>
      <w:r>
        <w:rPr>
          <w:rFonts w:eastAsia="仿宋_GB2312"/>
          <w:b/>
          <w:color w:val="auto"/>
          <w:sz w:val="24"/>
        </w:rPr>
        <w:t>年期修正系数表</w:t>
      </w:r>
    </w:p>
    <w:tbl>
      <w:tblPr>
        <w:tblStyle w:val="88"/>
        <w:tblW w:w="51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2"/>
        <w:gridCol w:w="816"/>
        <w:gridCol w:w="816"/>
        <w:gridCol w:w="816"/>
        <w:gridCol w:w="816"/>
        <w:gridCol w:w="816"/>
        <w:gridCol w:w="816"/>
        <w:gridCol w:w="816"/>
        <w:gridCol w:w="816"/>
        <w:gridCol w:w="816"/>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剩余年限</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修正系数</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0.0664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0.1287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0.1872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0.2422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0.2938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0.3422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0.3877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0.4304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0.4705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0.5082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剩余年限</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修正系数</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0.5436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0.5768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0.6079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0.6372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0.6647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0.6905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0.7148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0.7375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0.7589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0.7789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剩余年限</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29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修正系数</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0.7978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0.8155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0.8321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0.8477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0.8623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0.8761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0.8890</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0.9011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0.9125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剩余年限</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31</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34</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37</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39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10"/>
                <w:kern w:val="0"/>
                <w:sz w:val="24"/>
              </w:rPr>
            </w:pPr>
            <w:r>
              <w:rPr>
                <w:rFonts w:eastAsia="仿宋_GB2312"/>
                <w:b/>
                <w:color w:val="auto"/>
                <w:spacing w:val="-10"/>
                <w:kern w:val="0"/>
                <w:sz w:val="24"/>
              </w:rPr>
              <w:t>修正系数</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0.9332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0.9426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0.9515</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0.9598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0.9676</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0.9749</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0.9818</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0.9882</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0.9943</w:t>
            </w:r>
          </w:p>
        </w:tc>
        <w:tc>
          <w:tcPr>
            <w:tcW w:w="43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kern w:val="0"/>
                <w:sz w:val="24"/>
              </w:rPr>
              <w:t>1.0000</w:t>
            </w:r>
          </w:p>
        </w:tc>
      </w:tr>
    </w:tbl>
    <w:p>
      <w:pPr>
        <w:adjustRightInd w:val="0"/>
        <w:snapToGrid w:val="0"/>
        <w:spacing w:line="312"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在进行宗地评估时可根据公式</w:t>
      </w:r>
      <w:r>
        <w:rPr>
          <w:rFonts w:eastAsia="仿宋_GB2312"/>
          <w:i/>
          <w:iCs/>
          <w:color w:val="auto"/>
          <w:szCs w:val="21"/>
        </w:rPr>
        <w:t>K</w:t>
      </w:r>
      <w:r>
        <w:rPr>
          <w:rFonts w:eastAsia="仿宋_GB2312"/>
          <w:i/>
          <w:iCs/>
          <w:color w:val="auto"/>
          <w:szCs w:val="21"/>
          <w:vertAlign w:val="subscript"/>
        </w:rPr>
        <w:t>y</w:t>
      </w:r>
      <w:r>
        <w:rPr>
          <w:rFonts w:eastAsia="仿宋_GB2312"/>
          <w:i/>
          <w:iCs/>
          <w:color w:val="auto"/>
          <w:szCs w:val="21"/>
        </w:rPr>
        <w:t>=[1－（1÷（1+ r）</w:t>
      </w:r>
      <w:r>
        <w:rPr>
          <w:rFonts w:eastAsia="仿宋_GB2312"/>
          <w:i/>
          <w:iCs/>
          <w:color w:val="auto"/>
          <w:szCs w:val="21"/>
          <w:vertAlign w:val="superscript"/>
        </w:rPr>
        <w:t>ml</w:t>
      </w:r>
      <w:r>
        <w:rPr>
          <w:rFonts w:eastAsia="仿宋_GB2312"/>
          <w:i/>
          <w:iCs/>
          <w:color w:val="auto"/>
          <w:szCs w:val="21"/>
        </w:rPr>
        <w:t>）]÷[1－[1÷（1+ r）</w:t>
      </w:r>
      <w:r>
        <w:rPr>
          <w:rFonts w:eastAsia="仿宋_GB2312"/>
          <w:i/>
          <w:iCs/>
          <w:color w:val="auto"/>
          <w:szCs w:val="21"/>
          <w:vertAlign w:val="superscript"/>
        </w:rPr>
        <w:t>m</w:t>
      </w:r>
      <w:r>
        <w:rPr>
          <w:rFonts w:eastAsia="仿宋_GB2312"/>
          <w:i/>
          <w:iCs/>
          <w:color w:val="auto"/>
          <w:szCs w:val="21"/>
        </w:rPr>
        <w:t>]</w:t>
      </w:r>
      <w:r>
        <w:rPr>
          <w:rFonts w:eastAsia="仿宋_GB2312"/>
          <w:color w:val="auto"/>
          <w:szCs w:val="21"/>
        </w:rPr>
        <w:t>直接计算</w:t>
      </w:r>
      <w:r>
        <w:rPr>
          <w:rFonts w:hint="eastAsia" w:eastAsia="仿宋_GB2312"/>
          <w:color w:val="auto"/>
          <w:szCs w:val="21"/>
          <w:lang w:eastAsia="zh-CN"/>
        </w:rPr>
        <w:t>。</w:t>
      </w:r>
    </w:p>
    <w:p>
      <w:pPr>
        <w:adjustRightInd w:val="0"/>
        <w:snapToGrid w:val="0"/>
        <w:spacing w:line="312" w:lineRule="auto"/>
        <w:ind w:firstLine="420" w:firstLineChars="200"/>
        <w:rPr>
          <w:rFonts w:eastAsia="仿宋_GB2312"/>
          <w:color w:val="auto"/>
          <w:szCs w:val="21"/>
        </w:rPr>
      </w:pPr>
      <w:r>
        <w:rPr>
          <w:rFonts w:hint="eastAsia" w:eastAsia="仿宋_GB2312" w:cs="宋体"/>
          <w:color w:val="auto"/>
          <w:szCs w:val="21"/>
        </w:rPr>
        <w:t>②</w:t>
      </w:r>
      <w:r>
        <w:rPr>
          <w:rFonts w:eastAsia="仿宋_GB2312"/>
          <w:color w:val="auto"/>
          <w:szCs w:val="21"/>
        </w:rPr>
        <w:t>表中为商服用地土地</w:t>
      </w:r>
      <w:r>
        <w:rPr>
          <w:rFonts w:hint="eastAsia" w:eastAsia="仿宋_GB2312"/>
          <w:color w:val="auto"/>
          <w:szCs w:val="21"/>
        </w:rPr>
        <w:t>还原率</w:t>
      </w:r>
      <w:r>
        <w:rPr>
          <w:rFonts w:eastAsia="仿宋_GB2312"/>
          <w:color w:val="auto"/>
          <w:szCs w:val="21"/>
        </w:rPr>
        <w:t>取6.</w:t>
      </w:r>
      <w:r>
        <w:rPr>
          <w:rFonts w:hint="eastAsia" w:eastAsia="仿宋_GB2312"/>
          <w:color w:val="auto"/>
          <w:szCs w:val="21"/>
        </w:rPr>
        <w:t>50</w:t>
      </w:r>
      <w:r>
        <w:rPr>
          <w:rFonts w:eastAsia="仿宋_GB2312"/>
          <w:color w:val="auto"/>
          <w:szCs w:val="21"/>
        </w:rPr>
        <w:t>％条件下的年期修正系数。</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（4）个别因素修正</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①临路条件修正</w:t>
      </w:r>
    </w:p>
    <w:p>
      <w:pPr>
        <w:adjustRightInd w:val="0"/>
        <w:snapToGrid w:val="0"/>
        <w:spacing w:line="312" w:lineRule="auto"/>
        <w:ind w:firstLine="481" w:firstLineChars="200"/>
        <w:jc w:val="center"/>
        <w:rPr>
          <w:rFonts w:eastAsia="仿宋_GB2312"/>
          <w:b/>
          <w:color w:val="auto"/>
          <w:sz w:val="24"/>
        </w:rPr>
      </w:pPr>
      <w:r>
        <w:rPr>
          <w:rFonts w:hint="eastAsia" w:eastAsia="仿宋_GB2312"/>
          <w:b/>
          <w:bCs/>
          <w:color w:val="auto"/>
          <w:sz w:val="24"/>
        </w:rPr>
        <w:t>表4-1-13</w:t>
      </w:r>
      <w:r>
        <w:rPr>
          <w:rFonts w:hint="eastAsia" w:eastAsia="仿宋_GB2312"/>
          <w:b/>
          <w:color w:val="auto"/>
          <w:sz w:val="24"/>
        </w:rPr>
        <w:t xml:space="preserve">  </w:t>
      </w:r>
      <w:r>
        <w:rPr>
          <w:rFonts w:eastAsia="仿宋_GB2312"/>
          <w:b/>
          <w:color w:val="auto"/>
          <w:sz w:val="24"/>
        </w:rPr>
        <w:t>临路条件修正系数表</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2193"/>
        <w:gridCol w:w="1898"/>
        <w:gridCol w:w="1970"/>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5"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临路条件</w:t>
            </w:r>
          </w:p>
        </w:tc>
        <w:tc>
          <w:tcPr>
            <w:tcW w:w="1210"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临步行街、商业街</w:t>
            </w:r>
          </w:p>
        </w:tc>
        <w:tc>
          <w:tcPr>
            <w:tcW w:w="1047"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临生活型主干道</w:t>
            </w:r>
          </w:p>
        </w:tc>
        <w:tc>
          <w:tcPr>
            <w:tcW w:w="1087"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临混合型主干道</w:t>
            </w:r>
          </w:p>
        </w:tc>
        <w:tc>
          <w:tcPr>
            <w:tcW w:w="929"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生活型次干道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5"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修正系数</w:t>
            </w:r>
          </w:p>
        </w:tc>
        <w:tc>
          <w:tcPr>
            <w:tcW w:w="1210" w:type="pct"/>
            <w:vAlign w:val="center"/>
          </w:tcPr>
          <w:p>
            <w:pPr>
              <w:adjustRightInd w:val="0"/>
              <w:snapToGrid w:val="0"/>
              <w:spacing w:line="240" w:lineRule="auto"/>
              <w:jc w:val="center"/>
              <w:rPr>
                <w:rFonts w:eastAsia="仿宋_GB2312"/>
                <w:color w:val="auto"/>
                <w:spacing w:val="-10"/>
                <w:kern w:val="0"/>
                <w:szCs w:val="21"/>
              </w:rPr>
            </w:pPr>
            <w:r>
              <w:rPr>
                <w:rFonts w:eastAsia="仿宋_GB2312"/>
                <w:color w:val="auto"/>
                <w:spacing w:val="-10"/>
                <w:kern w:val="0"/>
                <w:sz w:val="24"/>
                <w:szCs w:val="21"/>
              </w:rPr>
              <w:t>1.20~1.25</w:t>
            </w:r>
          </w:p>
        </w:tc>
        <w:tc>
          <w:tcPr>
            <w:tcW w:w="1047" w:type="pct"/>
            <w:vAlign w:val="center"/>
          </w:tcPr>
          <w:p>
            <w:pPr>
              <w:adjustRightInd w:val="0"/>
              <w:snapToGrid w:val="0"/>
              <w:spacing w:line="240" w:lineRule="auto"/>
              <w:jc w:val="center"/>
              <w:rPr>
                <w:rFonts w:eastAsia="仿宋_GB2312"/>
                <w:color w:val="auto"/>
                <w:spacing w:val="-10"/>
                <w:szCs w:val="21"/>
              </w:rPr>
            </w:pPr>
            <w:r>
              <w:rPr>
                <w:rFonts w:eastAsia="仿宋_GB2312"/>
                <w:color w:val="auto"/>
                <w:spacing w:val="-10"/>
                <w:kern w:val="0"/>
                <w:sz w:val="24"/>
                <w:szCs w:val="21"/>
              </w:rPr>
              <w:t>1.15~1.20</w:t>
            </w:r>
          </w:p>
        </w:tc>
        <w:tc>
          <w:tcPr>
            <w:tcW w:w="1087" w:type="pct"/>
            <w:vAlign w:val="center"/>
          </w:tcPr>
          <w:p>
            <w:pPr>
              <w:adjustRightInd w:val="0"/>
              <w:snapToGrid w:val="0"/>
              <w:spacing w:line="240" w:lineRule="auto"/>
              <w:jc w:val="center"/>
              <w:rPr>
                <w:rFonts w:eastAsia="仿宋_GB2312"/>
                <w:color w:val="auto"/>
                <w:spacing w:val="-10"/>
                <w:szCs w:val="21"/>
              </w:rPr>
            </w:pPr>
            <w:r>
              <w:rPr>
                <w:rFonts w:eastAsia="仿宋_GB2312"/>
                <w:color w:val="auto"/>
                <w:spacing w:val="-10"/>
                <w:kern w:val="0"/>
                <w:sz w:val="24"/>
                <w:szCs w:val="21"/>
              </w:rPr>
              <w:t>1.10~1.15</w:t>
            </w:r>
          </w:p>
        </w:tc>
        <w:tc>
          <w:tcPr>
            <w:tcW w:w="929" w:type="pct"/>
            <w:vAlign w:val="center"/>
          </w:tcPr>
          <w:p>
            <w:pPr>
              <w:adjustRightInd w:val="0"/>
              <w:snapToGrid w:val="0"/>
              <w:spacing w:line="240" w:lineRule="auto"/>
              <w:jc w:val="center"/>
              <w:rPr>
                <w:rFonts w:eastAsia="仿宋_GB2312"/>
                <w:color w:val="auto"/>
                <w:spacing w:val="-10"/>
                <w:szCs w:val="21"/>
              </w:rPr>
            </w:pPr>
            <w:r>
              <w:rPr>
                <w:rFonts w:eastAsia="仿宋_GB2312"/>
                <w:color w:val="auto"/>
                <w:spacing w:val="-10"/>
                <w:kern w:val="0"/>
                <w:sz w:val="24"/>
                <w:szCs w:val="21"/>
              </w:rPr>
              <w:t>1.05~1.10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5"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临路条件</w:t>
            </w:r>
          </w:p>
        </w:tc>
        <w:tc>
          <w:tcPr>
            <w:tcW w:w="1210"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b/>
                <w:bCs/>
                <w:color w:val="auto"/>
                <w:spacing w:val="-10"/>
                <w:kern w:val="0"/>
                <w:sz w:val="24"/>
              </w:rPr>
              <w:t>交通型干道</w:t>
            </w:r>
          </w:p>
        </w:tc>
        <w:tc>
          <w:tcPr>
            <w:tcW w:w="1047"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b/>
                <w:bCs/>
                <w:color w:val="auto"/>
                <w:spacing w:val="-10"/>
                <w:kern w:val="0"/>
                <w:sz w:val="24"/>
              </w:rPr>
              <w:t>临支路</w:t>
            </w:r>
          </w:p>
        </w:tc>
        <w:tc>
          <w:tcPr>
            <w:tcW w:w="1087"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b/>
                <w:bCs/>
                <w:color w:val="auto"/>
                <w:spacing w:val="-10"/>
                <w:kern w:val="0"/>
                <w:sz w:val="24"/>
              </w:rPr>
              <w:t>临老街、小巷</w:t>
            </w:r>
          </w:p>
        </w:tc>
        <w:tc>
          <w:tcPr>
            <w:tcW w:w="929"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b/>
                <w:bCs/>
                <w:color w:val="auto"/>
                <w:spacing w:val="-10"/>
                <w:kern w:val="0"/>
                <w:sz w:val="24"/>
              </w:rPr>
              <w:t>不临路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5" w:type="pct"/>
            <w:vAlign w:val="center"/>
          </w:tcPr>
          <w:p>
            <w:pPr>
              <w:adjustRightInd w:val="0"/>
              <w:snapToGrid w:val="0"/>
              <w:spacing w:line="240" w:lineRule="auto"/>
              <w:jc w:val="center"/>
              <w:rPr>
                <w:rFonts w:eastAsia="仿宋_GB2312"/>
                <w:b/>
                <w:bCs/>
                <w:color w:val="auto"/>
                <w:spacing w:val="-10"/>
                <w:kern w:val="0"/>
                <w:sz w:val="24"/>
              </w:rPr>
            </w:pPr>
            <w:r>
              <w:rPr>
                <w:rFonts w:eastAsia="仿宋_GB2312"/>
                <w:b/>
                <w:bCs/>
                <w:color w:val="auto"/>
                <w:spacing w:val="-10"/>
                <w:kern w:val="0"/>
                <w:sz w:val="24"/>
              </w:rPr>
              <w:t>修正系数</w:t>
            </w:r>
          </w:p>
        </w:tc>
        <w:tc>
          <w:tcPr>
            <w:tcW w:w="1210"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color w:val="auto"/>
                <w:spacing w:val="-10"/>
                <w:kern w:val="0"/>
                <w:sz w:val="24"/>
                <w:szCs w:val="21"/>
              </w:rPr>
              <w:t>0.98~1.0</w:t>
            </w:r>
            <w:r>
              <w:rPr>
                <w:rFonts w:hint="eastAsia" w:eastAsia="仿宋_GB2312"/>
                <w:color w:val="auto"/>
                <w:spacing w:val="-10"/>
                <w:kern w:val="0"/>
                <w:sz w:val="24"/>
                <w:szCs w:val="21"/>
              </w:rPr>
              <w:t>5</w:t>
            </w:r>
          </w:p>
        </w:tc>
        <w:tc>
          <w:tcPr>
            <w:tcW w:w="1047"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color w:val="auto"/>
                <w:spacing w:val="-10"/>
                <w:kern w:val="0"/>
                <w:sz w:val="24"/>
                <w:szCs w:val="21"/>
              </w:rPr>
              <w:t>0.88~0.9</w:t>
            </w:r>
            <w:r>
              <w:rPr>
                <w:rFonts w:hint="eastAsia" w:eastAsia="仿宋_GB2312"/>
                <w:color w:val="auto"/>
                <w:spacing w:val="-10"/>
                <w:kern w:val="0"/>
                <w:sz w:val="24"/>
                <w:szCs w:val="21"/>
              </w:rPr>
              <w:t>8</w:t>
            </w:r>
          </w:p>
        </w:tc>
        <w:tc>
          <w:tcPr>
            <w:tcW w:w="1087"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color w:val="auto"/>
                <w:spacing w:val="-10"/>
                <w:kern w:val="0"/>
                <w:sz w:val="24"/>
                <w:szCs w:val="21"/>
              </w:rPr>
              <w:t>0.85~0.</w:t>
            </w:r>
            <w:r>
              <w:rPr>
                <w:rFonts w:hint="eastAsia" w:eastAsia="仿宋_GB2312"/>
                <w:color w:val="auto"/>
                <w:spacing w:val="-10"/>
                <w:kern w:val="0"/>
                <w:sz w:val="24"/>
                <w:szCs w:val="21"/>
              </w:rPr>
              <w:t>88</w:t>
            </w:r>
          </w:p>
        </w:tc>
        <w:tc>
          <w:tcPr>
            <w:tcW w:w="929" w:type="pct"/>
            <w:vAlign w:val="center"/>
          </w:tcPr>
          <w:p>
            <w:pPr>
              <w:adjustRightInd w:val="0"/>
              <w:snapToGrid w:val="0"/>
              <w:spacing w:line="240" w:lineRule="auto"/>
              <w:jc w:val="center"/>
              <w:rPr>
                <w:rFonts w:eastAsia="仿宋_GB2312"/>
                <w:color w:val="auto"/>
                <w:spacing w:val="-10"/>
                <w:kern w:val="0"/>
                <w:sz w:val="24"/>
                <w:szCs w:val="21"/>
              </w:rPr>
            </w:pPr>
            <w:r>
              <w:rPr>
                <w:rFonts w:eastAsia="仿宋_GB2312"/>
                <w:color w:val="auto"/>
                <w:spacing w:val="-10"/>
                <w:kern w:val="0"/>
                <w:sz w:val="24"/>
                <w:szCs w:val="21"/>
              </w:rPr>
              <w:t>0.80~0.85</w:t>
            </w:r>
          </w:p>
        </w:tc>
      </w:tr>
    </w:tbl>
    <w:p>
      <w:pPr>
        <w:adjustRightInd w:val="0"/>
        <w:snapToGrid w:val="0"/>
        <w:spacing w:line="264" w:lineRule="auto"/>
        <w:ind w:firstLine="404" w:firstLineChars="200"/>
        <w:rPr>
          <w:rFonts w:eastAsia="仿宋_GB2312"/>
          <w:color w:val="auto"/>
          <w:spacing w:val="-4"/>
          <w:szCs w:val="21"/>
        </w:rPr>
      </w:pPr>
      <w:r>
        <w:rPr>
          <w:rFonts w:eastAsia="仿宋_GB2312"/>
          <w:color w:val="auto"/>
          <w:spacing w:val="-4"/>
          <w:szCs w:val="21"/>
        </w:rPr>
        <w:t>注：确定临路条件及对应修正系数时，应根据主、次干线、分支线路等道路情况、所临道路与同级别同类型道路对比情况等，酌情选用上限值、中间值或下限值，并在评估技术报告中做相应说明。</w:t>
      </w:r>
    </w:p>
    <w:p>
      <w:pPr>
        <w:adjustRightInd w:val="0"/>
        <w:snapToGrid w:val="0"/>
        <w:spacing w:line="264" w:lineRule="auto"/>
        <w:ind w:firstLine="404" w:firstLineChars="200"/>
        <w:rPr>
          <w:rFonts w:eastAsia="仿宋_GB2312"/>
          <w:color w:val="auto"/>
          <w:spacing w:val="-4"/>
          <w:szCs w:val="21"/>
        </w:rPr>
      </w:pPr>
    </w:p>
    <w:p>
      <w:pPr>
        <w:adjustRightInd w:val="0"/>
        <w:snapToGrid w:val="0"/>
        <w:spacing w:line="264" w:lineRule="auto"/>
        <w:ind w:firstLine="404" w:firstLineChars="200"/>
        <w:rPr>
          <w:rFonts w:eastAsia="仿宋_GB2312"/>
          <w:color w:val="auto"/>
          <w:spacing w:val="-4"/>
          <w:szCs w:val="21"/>
        </w:rPr>
      </w:pP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②临街类型修正</w:t>
      </w:r>
    </w:p>
    <w:p>
      <w:pPr>
        <w:adjustRightInd w:val="0"/>
        <w:snapToGrid w:val="0"/>
        <w:spacing w:line="312" w:lineRule="auto"/>
        <w:ind w:firstLine="481" w:firstLineChars="200"/>
        <w:jc w:val="center"/>
        <w:rPr>
          <w:rFonts w:eastAsia="仿宋_GB2312"/>
          <w:b/>
          <w:color w:val="auto"/>
          <w:sz w:val="24"/>
        </w:rPr>
      </w:pPr>
      <w:r>
        <w:rPr>
          <w:rFonts w:hint="eastAsia" w:eastAsia="仿宋_GB2312"/>
          <w:b/>
          <w:bCs/>
          <w:color w:val="auto"/>
          <w:sz w:val="24"/>
        </w:rPr>
        <w:t>表4-1-14</w:t>
      </w:r>
      <w:r>
        <w:rPr>
          <w:rFonts w:hint="eastAsia" w:eastAsia="仿宋_GB2312"/>
          <w:b/>
          <w:color w:val="auto"/>
          <w:sz w:val="24"/>
        </w:rPr>
        <w:t xml:space="preserve">  </w:t>
      </w:r>
      <w:r>
        <w:rPr>
          <w:rFonts w:eastAsia="仿宋_GB2312"/>
          <w:b/>
          <w:color w:val="auto"/>
          <w:sz w:val="24"/>
        </w:rPr>
        <w:t>临街类型修正系数表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2268"/>
        <w:gridCol w:w="2268"/>
        <w:gridCol w:w="2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pct"/>
            <w:vAlign w:val="center"/>
          </w:tcPr>
          <w:p>
            <w:pPr>
              <w:adjustRightInd w:val="0"/>
              <w:snapToGrid w:val="0"/>
              <w:jc w:val="center"/>
              <w:rPr>
                <w:rFonts w:eastAsia="仿宋_GB2312"/>
                <w:b/>
                <w:color w:val="auto"/>
                <w:kern w:val="0"/>
                <w:sz w:val="24"/>
                <w:szCs w:val="21"/>
              </w:rPr>
            </w:pPr>
            <w:r>
              <w:rPr>
                <w:rFonts w:eastAsia="仿宋_GB2312"/>
                <w:b/>
                <w:color w:val="auto"/>
                <w:kern w:val="0"/>
                <w:sz w:val="24"/>
                <w:szCs w:val="21"/>
              </w:rPr>
              <w:t>临街类型</w:t>
            </w:r>
          </w:p>
        </w:tc>
        <w:tc>
          <w:tcPr>
            <w:tcW w:w="1251" w:type="pct"/>
            <w:vAlign w:val="center"/>
          </w:tcPr>
          <w:p>
            <w:pPr>
              <w:adjustRightInd w:val="0"/>
              <w:snapToGrid w:val="0"/>
              <w:jc w:val="center"/>
              <w:rPr>
                <w:rFonts w:eastAsia="仿宋_GB2312"/>
                <w:b/>
                <w:color w:val="auto"/>
                <w:kern w:val="0"/>
                <w:sz w:val="24"/>
                <w:szCs w:val="21"/>
              </w:rPr>
            </w:pPr>
            <w:r>
              <w:rPr>
                <w:rFonts w:eastAsia="仿宋_GB2312"/>
                <w:b/>
                <w:color w:val="auto"/>
                <w:kern w:val="0"/>
                <w:sz w:val="24"/>
                <w:szCs w:val="21"/>
              </w:rPr>
              <w:t>一面临街</w:t>
            </w:r>
          </w:p>
        </w:tc>
        <w:tc>
          <w:tcPr>
            <w:tcW w:w="1251" w:type="pct"/>
            <w:vAlign w:val="center"/>
          </w:tcPr>
          <w:p>
            <w:pPr>
              <w:adjustRightInd w:val="0"/>
              <w:snapToGrid w:val="0"/>
              <w:jc w:val="center"/>
              <w:rPr>
                <w:rFonts w:eastAsia="仿宋_GB2312"/>
                <w:b/>
                <w:color w:val="auto"/>
                <w:kern w:val="0"/>
                <w:sz w:val="24"/>
                <w:szCs w:val="21"/>
              </w:rPr>
            </w:pPr>
            <w:r>
              <w:rPr>
                <w:rFonts w:eastAsia="仿宋_GB2312"/>
                <w:b/>
                <w:color w:val="auto"/>
                <w:kern w:val="0"/>
                <w:sz w:val="24"/>
                <w:szCs w:val="21"/>
              </w:rPr>
              <w:t>两面临街</w:t>
            </w:r>
          </w:p>
        </w:tc>
        <w:tc>
          <w:tcPr>
            <w:tcW w:w="1246" w:type="pct"/>
            <w:vAlign w:val="center"/>
          </w:tcPr>
          <w:p>
            <w:pPr>
              <w:adjustRightInd w:val="0"/>
              <w:snapToGrid w:val="0"/>
              <w:jc w:val="center"/>
              <w:rPr>
                <w:rFonts w:eastAsia="仿宋_GB2312"/>
                <w:b/>
                <w:color w:val="auto"/>
                <w:kern w:val="0"/>
                <w:sz w:val="24"/>
                <w:szCs w:val="21"/>
              </w:rPr>
            </w:pPr>
            <w:r>
              <w:rPr>
                <w:rFonts w:hint="eastAsia" w:eastAsia="仿宋_GB2312"/>
                <w:b/>
                <w:color w:val="auto"/>
                <w:kern w:val="0"/>
                <w:sz w:val="24"/>
                <w:szCs w:val="21"/>
              </w:rPr>
              <w:t>多</w:t>
            </w:r>
            <w:r>
              <w:rPr>
                <w:rFonts w:eastAsia="仿宋_GB2312"/>
                <w:b/>
                <w:color w:val="auto"/>
                <w:kern w:val="0"/>
                <w:sz w:val="24"/>
                <w:szCs w:val="21"/>
              </w:rPr>
              <w:t>面临街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pct"/>
            <w:vAlign w:val="center"/>
          </w:tcPr>
          <w:p>
            <w:pPr>
              <w:adjustRightInd w:val="0"/>
              <w:snapToGrid w:val="0"/>
              <w:jc w:val="center"/>
              <w:rPr>
                <w:rFonts w:eastAsia="仿宋_GB2312"/>
                <w:color w:val="auto"/>
                <w:kern w:val="0"/>
                <w:sz w:val="20"/>
                <w:szCs w:val="20"/>
              </w:rPr>
            </w:pPr>
            <w:r>
              <w:rPr>
                <w:rFonts w:eastAsia="仿宋_GB2312"/>
                <w:b/>
                <w:color w:val="auto"/>
                <w:kern w:val="0"/>
                <w:sz w:val="24"/>
                <w:szCs w:val="21"/>
              </w:rPr>
              <w:t>修正系数</w:t>
            </w:r>
          </w:p>
        </w:tc>
        <w:tc>
          <w:tcPr>
            <w:tcW w:w="1251" w:type="pct"/>
            <w:vAlign w:val="center"/>
          </w:tcPr>
          <w:p>
            <w:pPr>
              <w:adjustRightInd w:val="0"/>
              <w:snapToGrid w:val="0"/>
              <w:jc w:val="center"/>
              <w:rPr>
                <w:rFonts w:eastAsia="仿宋_GB2312"/>
                <w:color w:val="auto"/>
                <w:kern w:val="0"/>
                <w:sz w:val="24"/>
                <w:szCs w:val="21"/>
              </w:rPr>
            </w:pPr>
            <w:r>
              <w:rPr>
                <w:rFonts w:eastAsia="仿宋_GB2312"/>
                <w:color w:val="auto"/>
                <w:kern w:val="0"/>
                <w:sz w:val="24"/>
                <w:szCs w:val="21"/>
              </w:rPr>
              <w:t>1.00</w:t>
            </w:r>
          </w:p>
        </w:tc>
        <w:tc>
          <w:tcPr>
            <w:tcW w:w="1251" w:type="pct"/>
            <w:vAlign w:val="center"/>
          </w:tcPr>
          <w:p>
            <w:pPr>
              <w:jc w:val="center"/>
              <w:rPr>
                <w:rFonts w:eastAsia="仿宋_GB2312"/>
                <w:color w:val="auto"/>
                <w:kern w:val="0"/>
                <w:szCs w:val="21"/>
              </w:rPr>
            </w:pPr>
            <w:r>
              <w:rPr>
                <w:rFonts w:eastAsia="仿宋_GB2312"/>
                <w:color w:val="auto"/>
                <w:kern w:val="0"/>
                <w:sz w:val="24"/>
                <w:szCs w:val="21"/>
              </w:rPr>
              <w:t>1.05~1.</w:t>
            </w:r>
            <w:r>
              <w:rPr>
                <w:rFonts w:hint="eastAsia" w:eastAsia="仿宋_GB2312"/>
                <w:color w:val="auto"/>
                <w:kern w:val="0"/>
                <w:sz w:val="24"/>
                <w:szCs w:val="21"/>
              </w:rPr>
              <w:t>1</w:t>
            </w:r>
          </w:p>
        </w:tc>
        <w:tc>
          <w:tcPr>
            <w:tcW w:w="1246" w:type="pct"/>
            <w:vAlign w:val="center"/>
          </w:tcPr>
          <w:p>
            <w:pPr>
              <w:jc w:val="center"/>
              <w:rPr>
                <w:rFonts w:eastAsia="仿宋_GB2312"/>
                <w:color w:val="auto"/>
                <w:szCs w:val="21"/>
              </w:rPr>
            </w:pPr>
            <w:r>
              <w:rPr>
                <w:rFonts w:eastAsia="仿宋_GB2312"/>
                <w:color w:val="auto"/>
                <w:kern w:val="0"/>
                <w:sz w:val="24"/>
                <w:szCs w:val="21"/>
              </w:rPr>
              <w:t>1.1~1.</w:t>
            </w:r>
            <w:r>
              <w:rPr>
                <w:rFonts w:hint="eastAsia" w:eastAsia="仿宋_GB2312"/>
                <w:color w:val="auto"/>
                <w:kern w:val="0"/>
                <w:sz w:val="24"/>
                <w:szCs w:val="21"/>
              </w:rPr>
              <w:t>25</w:t>
            </w:r>
          </w:p>
        </w:tc>
      </w:tr>
    </w:tbl>
    <w:p>
      <w:pPr>
        <w:adjustRightInd w:val="0"/>
        <w:snapToGrid w:val="0"/>
        <w:spacing w:line="264" w:lineRule="auto"/>
        <w:ind w:firstLine="404" w:firstLineChars="200"/>
        <w:rPr>
          <w:rFonts w:eastAsia="仿宋_GB2312"/>
          <w:color w:val="auto"/>
          <w:spacing w:val="-4"/>
          <w:szCs w:val="21"/>
        </w:rPr>
      </w:pPr>
      <w:r>
        <w:rPr>
          <w:rFonts w:eastAsia="仿宋_GB2312"/>
          <w:color w:val="auto"/>
          <w:spacing w:val="-4"/>
          <w:szCs w:val="21"/>
        </w:rPr>
        <w:t>注：临街类型修正系数应根据待估宗地所临道路的商服繁华程度酌情选取。</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③其他个别因素修正</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其他个别因素修正系数（Kg）的计算公式为：</w:t>
      </w:r>
    </w:p>
    <w:p>
      <w:pPr>
        <w:adjustRightInd w:val="0"/>
        <w:snapToGrid w:val="0"/>
        <w:spacing w:line="360" w:lineRule="auto"/>
        <w:jc w:val="center"/>
        <w:textAlignment w:val="baseline"/>
        <w:rPr>
          <w:rFonts w:eastAsia="仿宋_GB2312"/>
          <w:b/>
          <w:i/>
          <w:color w:val="auto"/>
          <w:kern w:val="28"/>
          <w:sz w:val="24"/>
          <w:szCs w:val="28"/>
        </w:rPr>
      </w:pPr>
      <w:r>
        <w:rPr>
          <w:rFonts w:eastAsia="仿宋_GB2312"/>
          <w:b/>
          <w:i/>
          <w:color w:val="auto"/>
          <w:kern w:val="28"/>
          <w:sz w:val="28"/>
          <w:szCs w:val="28"/>
        </w:rPr>
        <w:t>K</w:t>
      </w:r>
      <w:r>
        <w:rPr>
          <w:rFonts w:eastAsia="仿宋_GB2312"/>
          <w:b/>
          <w:i/>
          <w:color w:val="auto"/>
          <w:sz w:val="28"/>
          <w:szCs w:val="28"/>
          <w:vertAlign w:val="subscript"/>
        </w:rPr>
        <w:t>g</w:t>
      </w:r>
      <w:r>
        <w:rPr>
          <w:rFonts w:eastAsia="仿宋_GB2312"/>
          <w:b/>
          <w:i/>
          <w:color w:val="auto"/>
          <w:kern w:val="28"/>
          <w:sz w:val="28"/>
          <w:szCs w:val="28"/>
        </w:rPr>
        <w:t>=∏（1+K</w:t>
      </w:r>
      <w:r>
        <w:rPr>
          <w:rFonts w:eastAsia="仿宋_GB2312"/>
          <w:b/>
          <w:i/>
          <w:color w:val="auto"/>
          <w:sz w:val="28"/>
          <w:szCs w:val="28"/>
          <w:vertAlign w:val="subscript"/>
        </w:rPr>
        <w:t>gi</w:t>
      </w:r>
      <w:r>
        <w:rPr>
          <w:rFonts w:eastAsia="仿宋_GB2312"/>
          <w:b/>
          <w:i/>
          <w:color w:val="auto"/>
          <w:kern w:val="28"/>
          <w:sz w:val="28"/>
          <w:szCs w:val="28"/>
        </w:rPr>
        <w:t>）</w:t>
      </w:r>
    </w:p>
    <w:p>
      <w:pPr>
        <w:keepNext/>
        <w:snapToGrid w:val="0"/>
        <w:spacing w:line="312" w:lineRule="auto"/>
        <w:ind w:firstLine="420"/>
        <w:jc w:val="center"/>
        <w:rPr>
          <w:rFonts w:eastAsia="仿宋_GB2312"/>
          <w:b/>
          <w:color w:val="auto"/>
          <w:sz w:val="24"/>
        </w:rPr>
      </w:pPr>
      <w:r>
        <w:rPr>
          <w:rFonts w:hint="eastAsia" w:eastAsia="仿宋_GB2312"/>
          <w:b/>
          <w:bCs/>
          <w:color w:val="auto"/>
          <w:sz w:val="24"/>
        </w:rPr>
        <w:t>表4-1-15</w:t>
      </w:r>
      <w:r>
        <w:rPr>
          <w:rFonts w:hint="eastAsia" w:eastAsia="仿宋_GB2312"/>
          <w:b/>
          <w:color w:val="auto"/>
          <w:sz w:val="24"/>
        </w:rPr>
        <w:t xml:space="preserve">  </w:t>
      </w:r>
      <w:r>
        <w:rPr>
          <w:rFonts w:eastAsia="仿宋_GB2312"/>
          <w:b/>
          <w:color w:val="auto"/>
          <w:sz w:val="24"/>
        </w:rPr>
        <w:t>商服用地其他个别因素修正系数表</w:t>
      </w:r>
    </w:p>
    <w:tbl>
      <w:tblPr>
        <w:tblStyle w:val="8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1419"/>
        <w:gridCol w:w="1419"/>
        <w:gridCol w:w="1419"/>
        <w:gridCol w:w="1419"/>
        <w:gridCol w:w="1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blHeader/>
          <w:jc w:val="center"/>
        </w:trPr>
        <w:tc>
          <w:tcPr>
            <w:tcW w:w="1484" w:type="dxa"/>
            <w:tcBorders>
              <w:tl2br w:val="single" w:color="auto" w:sz="4" w:space="0"/>
            </w:tcBorders>
            <w:vAlign w:val="center"/>
          </w:tcPr>
          <w:p>
            <w:pPr>
              <w:adjustRightInd w:val="0"/>
              <w:snapToGrid w:val="0"/>
              <w:spacing w:line="240" w:lineRule="auto"/>
              <w:jc w:val="right"/>
              <w:rPr>
                <w:rFonts w:eastAsia="仿宋_GB2312"/>
                <w:b/>
                <w:bCs/>
                <w:color w:val="auto"/>
                <w:kern w:val="0"/>
                <w:sz w:val="24"/>
              </w:rPr>
            </w:pPr>
            <w:r>
              <w:rPr>
                <w:rFonts w:eastAsia="仿宋_GB2312"/>
                <w:b/>
                <w:bCs/>
                <w:color w:val="auto"/>
                <w:kern w:val="0"/>
                <w:sz w:val="24"/>
              </w:rPr>
              <w:t>优劣度</w:t>
            </w:r>
          </w:p>
          <w:p>
            <w:pPr>
              <w:adjustRightInd w:val="0"/>
              <w:snapToGrid w:val="0"/>
              <w:spacing w:line="240" w:lineRule="auto"/>
              <w:rPr>
                <w:rFonts w:eastAsia="仿宋_GB2312"/>
                <w:b/>
                <w:bCs/>
                <w:color w:val="auto"/>
                <w:kern w:val="0"/>
                <w:sz w:val="24"/>
              </w:rPr>
            </w:pPr>
            <w:r>
              <w:rPr>
                <w:rFonts w:eastAsia="仿宋_GB2312"/>
                <w:b/>
                <w:bCs/>
                <w:color w:val="auto"/>
                <w:kern w:val="0"/>
                <w:sz w:val="24"/>
              </w:rPr>
              <w:t>因素</w:t>
            </w:r>
          </w:p>
        </w:tc>
        <w:tc>
          <w:tcPr>
            <w:tcW w:w="1419"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优</w:t>
            </w:r>
          </w:p>
        </w:tc>
        <w:tc>
          <w:tcPr>
            <w:tcW w:w="1419"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较优</w:t>
            </w:r>
          </w:p>
        </w:tc>
        <w:tc>
          <w:tcPr>
            <w:tcW w:w="1419"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一般</w:t>
            </w:r>
          </w:p>
        </w:tc>
        <w:tc>
          <w:tcPr>
            <w:tcW w:w="1419"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较劣</w:t>
            </w:r>
          </w:p>
        </w:tc>
        <w:tc>
          <w:tcPr>
            <w:tcW w:w="1419"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hint="eastAsia" w:eastAsia="仿宋_GB2312"/>
                <w:b/>
                <w:color w:val="auto"/>
                <w:sz w:val="24"/>
              </w:rPr>
              <w:t>宗地形状</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left"/>
              <w:rPr>
                <w:rFonts w:eastAsia="仿宋_GB2312"/>
                <w:color w:val="auto"/>
                <w:sz w:val="24"/>
              </w:rPr>
            </w:pPr>
            <w:r>
              <w:rPr>
                <w:rFonts w:hint="eastAsia" w:eastAsia="仿宋_GB2312"/>
                <w:color w:val="auto"/>
                <w:sz w:val="24"/>
              </w:rPr>
              <w:t>面积适中，对土地利用极为有利</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left"/>
              <w:rPr>
                <w:rFonts w:eastAsia="仿宋_GB2312"/>
                <w:color w:val="auto"/>
                <w:sz w:val="24"/>
              </w:rPr>
            </w:pPr>
            <w:r>
              <w:rPr>
                <w:rFonts w:hint="eastAsia" w:eastAsia="仿宋_GB2312"/>
                <w:color w:val="auto"/>
                <w:sz w:val="24"/>
              </w:rPr>
              <w:t>面积对土地利用较为有利</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left"/>
              <w:rPr>
                <w:rFonts w:eastAsia="仿宋_GB2312"/>
                <w:color w:val="auto"/>
                <w:sz w:val="24"/>
              </w:rPr>
            </w:pPr>
            <w:r>
              <w:rPr>
                <w:rFonts w:hint="eastAsia" w:eastAsia="仿宋_GB2312"/>
                <w:color w:val="auto"/>
                <w:sz w:val="24"/>
              </w:rPr>
              <w:t>面积对土地利用无不良影响</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left"/>
              <w:rPr>
                <w:rFonts w:eastAsia="仿宋_GB2312"/>
                <w:color w:val="auto"/>
                <w:sz w:val="24"/>
              </w:rPr>
            </w:pPr>
            <w:r>
              <w:rPr>
                <w:rFonts w:hint="eastAsia" w:eastAsia="仿宋_GB2312"/>
                <w:color w:val="auto"/>
                <w:sz w:val="24"/>
              </w:rPr>
              <w:t>面积较小，对土地利用有一定影响</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left"/>
              <w:rPr>
                <w:rFonts w:eastAsia="仿宋_GB2312"/>
                <w:color w:val="auto"/>
                <w:sz w:val="24"/>
              </w:rPr>
            </w:pPr>
            <w:r>
              <w:rPr>
                <w:rFonts w:hint="eastAsia" w:eastAsia="仿宋_GB2312"/>
                <w:color w:val="auto"/>
                <w:sz w:val="24"/>
              </w:rPr>
              <w:t>面积过小，对土地利用产生严重影响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修正系数</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0.02</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hint="eastAsia" w:eastAsia="仿宋_GB2312"/>
                <w:color w:val="auto"/>
                <w:sz w:val="24"/>
              </w:rPr>
              <w:t>0</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color w:val="auto"/>
                <w:sz w:val="24"/>
              </w:rPr>
            </w:pPr>
            <w:r>
              <w:rPr>
                <w:rFonts w:hint="eastAsia" w:eastAsia="仿宋_GB2312"/>
                <w:b/>
                <w:color w:val="auto"/>
                <w:sz w:val="24"/>
              </w:rPr>
              <w:t>宗地面积</w:t>
            </w:r>
          </w:p>
        </w:tc>
        <w:tc>
          <w:tcPr>
            <w:tcW w:w="1419"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olor w:val="auto"/>
                <w:sz w:val="24"/>
              </w:rPr>
            </w:pPr>
            <w:r>
              <w:rPr>
                <w:rFonts w:hint="eastAsia" w:eastAsia="仿宋_GB2312"/>
                <w:color w:val="auto"/>
                <w:sz w:val="24"/>
              </w:rPr>
              <w:t>形状规则，对土地利用合理</w:t>
            </w:r>
          </w:p>
        </w:tc>
        <w:tc>
          <w:tcPr>
            <w:tcW w:w="1419"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olor w:val="auto"/>
                <w:sz w:val="24"/>
              </w:rPr>
            </w:pPr>
            <w:r>
              <w:rPr>
                <w:rFonts w:hint="eastAsia" w:eastAsia="仿宋_GB2312"/>
                <w:color w:val="auto"/>
                <w:sz w:val="24"/>
              </w:rPr>
              <w:t>形状较规则，土地利用较为合理</w:t>
            </w:r>
          </w:p>
        </w:tc>
        <w:tc>
          <w:tcPr>
            <w:tcW w:w="1419"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olor w:val="auto"/>
                <w:sz w:val="24"/>
              </w:rPr>
            </w:pPr>
            <w:r>
              <w:rPr>
                <w:rFonts w:hint="eastAsia" w:eastAsia="仿宋_GB2312"/>
                <w:color w:val="auto"/>
                <w:sz w:val="24"/>
              </w:rPr>
              <w:t>形状一般，土地利用无不良影响</w:t>
            </w:r>
          </w:p>
        </w:tc>
        <w:tc>
          <w:tcPr>
            <w:tcW w:w="1419"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olor w:val="auto"/>
                <w:sz w:val="24"/>
              </w:rPr>
            </w:pPr>
            <w:r>
              <w:rPr>
                <w:rFonts w:hint="eastAsia" w:eastAsia="仿宋_GB2312"/>
                <w:color w:val="auto"/>
                <w:sz w:val="24"/>
              </w:rPr>
              <w:t>形状不规则，对土地利用不合理</w:t>
            </w:r>
          </w:p>
        </w:tc>
        <w:tc>
          <w:tcPr>
            <w:tcW w:w="1419"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olor w:val="auto"/>
                <w:sz w:val="24"/>
              </w:rPr>
            </w:pPr>
            <w:r>
              <w:rPr>
                <w:rFonts w:hint="eastAsia" w:eastAsia="仿宋_GB2312"/>
                <w:color w:val="auto"/>
                <w:sz w:val="24"/>
              </w:rPr>
              <w:t>形状不规则，对土地利用产生严重影响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修正系数</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0.02</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hint="eastAsia" w:eastAsia="仿宋_GB2312"/>
                <w:color w:val="auto"/>
                <w:sz w:val="24"/>
              </w:rPr>
              <w:t>0</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color w:val="auto"/>
                <w:sz w:val="24"/>
              </w:rPr>
            </w:pPr>
            <w:r>
              <w:rPr>
                <w:rFonts w:hint="eastAsia" w:eastAsia="仿宋_GB2312"/>
                <w:b/>
                <w:color w:val="auto"/>
                <w:sz w:val="24"/>
              </w:rPr>
              <w:t>宗地地势、地质</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地势平坦</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地势较平坦，坡度&lt;2%，对建筑无影响</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地势较平坦，坡度&lt;5%，对建筑影响较小</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地势不太平坦，需考虑坡度的影响</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地势很不平坦，需经过平整才能使用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z w:val="24"/>
              </w:rPr>
            </w:pPr>
            <w:r>
              <w:rPr>
                <w:rFonts w:hint="eastAsia" w:eastAsia="仿宋_GB2312"/>
                <w:b/>
                <w:color w:val="auto"/>
                <w:sz w:val="24"/>
              </w:rPr>
              <w:t>修正系数</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0.02</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hint="eastAsia" w:eastAsia="仿宋_GB2312"/>
                <w:color w:val="auto"/>
                <w:sz w:val="24"/>
              </w:rPr>
              <w:t>0</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-0.01</w:t>
            </w:r>
          </w:p>
        </w:tc>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eastAsia="仿宋_GB2312"/>
                <w:color w:val="auto"/>
                <w:sz w:val="24"/>
              </w:rPr>
            </w:pPr>
            <w:r>
              <w:rPr>
                <w:rFonts w:eastAsia="仿宋_GB2312"/>
                <w:color w:val="auto"/>
                <w:sz w:val="24"/>
              </w:rPr>
              <w:t>-0.02</w:t>
            </w:r>
          </w:p>
        </w:tc>
      </w:tr>
    </w:tbl>
    <w:p>
      <w:pPr>
        <w:autoSpaceDE w:val="0"/>
        <w:autoSpaceDN w:val="0"/>
        <w:adjustRightInd w:val="0"/>
        <w:snapToGrid w:val="0"/>
        <w:spacing w:line="360" w:lineRule="auto"/>
        <w:ind w:firstLine="562" w:firstLineChars="200"/>
        <w:outlineLvl w:val="3"/>
        <w:rPr>
          <w:rFonts w:hint="eastAsia" w:eastAsia="仿宋_GB2312"/>
          <w:b/>
          <w:color w:val="auto"/>
          <w:sz w:val="28"/>
          <w:szCs w:val="28"/>
        </w:rPr>
      </w:pP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（5）土地开发程度修正</w:t>
      </w:r>
    </w:p>
    <w:p>
      <w:pPr>
        <w:keepNext/>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商服用地基准地价为“五通一平（宗地红线外通路、通电、通上水、通下水、通讯，宗地红线内场地平整）”土地开发程度下的熟地价格。当运用基准地价法进行宗地评估时，若宗地未达到或超过基准地价设定土地开发程度时，应酌情扣除或增加相应开发费用。</w:t>
      </w:r>
    </w:p>
    <w:p>
      <w:pPr>
        <w:keepNext/>
        <w:adjustRightInd w:val="0"/>
        <w:snapToGrid w:val="0"/>
        <w:jc w:val="center"/>
        <w:rPr>
          <w:rFonts w:eastAsia="仿宋_GB2312"/>
          <w:b/>
          <w:color w:val="auto"/>
          <w:sz w:val="24"/>
        </w:rPr>
      </w:pPr>
      <w:r>
        <w:rPr>
          <w:rFonts w:hint="eastAsia" w:eastAsia="仿宋_GB2312"/>
          <w:b/>
          <w:bCs/>
          <w:color w:val="auto"/>
          <w:sz w:val="24"/>
        </w:rPr>
        <w:t xml:space="preserve">表4-1-16  </w:t>
      </w:r>
      <w:r>
        <w:rPr>
          <w:rFonts w:eastAsia="仿宋_GB2312"/>
          <w:b/>
          <w:color w:val="auto"/>
          <w:sz w:val="24"/>
        </w:rPr>
        <w:t>土地开发程度修正值表</w:t>
      </w:r>
    </w:p>
    <w:p>
      <w:pPr>
        <w:keepNext/>
        <w:adjustRightInd w:val="0"/>
        <w:snapToGrid w:val="0"/>
        <w:jc w:val="right"/>
        <w:rPr>
          <w:rFonts w:eastAsia="仿宋_GB2312"/>
          <w:color w:val="auto"/>
        </w:rPr>
      </w:pPr>
      <w:r>
        <w:rPr>
          <w:rFonts w:eastAsia="仿宋_GB2312"/>
          <w:color w:val="auto"/>
        </w:rPr>
        <w:t>单位：元/平方米</w:t>
      </w:r>
    </w:p>
    <w:tbl>
      <w:tblPr>
        <w:tblStyle w:val="88"/>
        <w:tblW w:w="50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4"/>
        <w:gridCol w:w="1778"/>
        <w:gridCol w:w="1793"/>
        <w:gridCol w:w="1877"/>
        <w:gridCol w:w="1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通路</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通电</w:t>
            </w:r>
          </w:p>
        </w:tc>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通上水</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w:t>
            </w:r>
            <w:r>
              <w:rPr>
                <w:rFonts w:hint="eastAsia" w:eastAsia="仿宋_GB2312"/>
                <w:color w:val="auto"/>
                <w:kern w:val="0"/>
                <w:sz w:val="24"/>
              </w:rPr>
              <w:t>~</w:t>
            </w:r>
            <w:r>
              <w:rPr>
                <w:rFonts w:eastAsia="仿宋_GB2312"/>
                <w:color w:val="auto"/>
                <w:kern w:val="0"/>
                <w:sz w:val="24"/>
              </w:rPr>
              <w:t>70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30~50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20~30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通讯</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通燃气</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场地平整</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10~20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30~100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140~330</w:t>
            </w:r>
          </w:p>
        </w:tc>
      </w:tr>
    </w:tbl>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注：①通路、通电、</w:t>
      </w:r>
      <w:r>
        <w:rPr>
          <w:rFonts w:hint="eastAsia" w:eastAsia="仿宋_GB2312"/>
          <w:color w:val="auto"/>
          <w:szCs w:val="21"/>
        </w:rPr>
        <w:t>通上水</w:t>
      </w:r>
      <w:r>
        <w:rPr>
          <w:rFonts w:eastAsia="仿宋_GB2312"/>
          <w:color w:val="auto"/>
          <w:szCs w:val="21"/>
        </w:rPr>
        <w:t>、</w:t>
      </w:r>
      <w:r>
        <w:rPr>
          <w:rFonts w:hint="eastAsia" w:eastAsia="仿宋_GB2312"/>
          <w:color w:val="auto"/>
          <w:szCs w:val="21"/>
        </w:rPr>
        <w:t>通下水</w:t>
      </w:r>
      <w:r>
        <w:rPr>
          <w:rFonts w:eastAsia="仿宋_GB2312"/>
          <w:color w:val="auto"/>
          <w:szCs w:val="21"/>
        </w:rPr>
        <w:t>、通讯等分项开发费用，应按主干线、次干线、分支线路等不同酌情选用上限值、中间值或下限值；</w:t>
      </w:r>
    </w:p>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②本表数据为每平方米土地的土地开发程度修正值，运用平均楼面地价时，应换算到每平方米建筑面积下的修正值。</w:t>
      </w:r>
    </w:p>
    <w:p>
      <w:pPr>
        <w:keepNext/>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51" w:name="_Toc214265658"/>
      <w:r>
        <w:rPr>
          <w:rFonts w:hint="eastAsia" w:ascii="楷体_GB2312" w:hAnsi="楷体_GB2312" w:eastAsia="楷体_GB2312" w:cs="楷体_GB2312"/>
          <w:b w:val="0"/>
          <w:bCs w:val="0"/>
          <w:color w:val="auto"/>
          <w:kern w:val="0"/>
          <w:sz w:val="32"/>
          <w:szCs w:val="32"/>
        </w:rPr>
        <w:t>（二）商业路线价修正体系</w:t>
      </w:r>
      <w:bookmarkEnd w:id="5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新兴县商业路线价修正体系包括：楼层修正、剩余使用年期修正、期日修正、临街深度修正、临街宽度修正、临街类型修正、个别因素修正及土地开发程度修正。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计算公式</w:t>
      </w:r>
    </w:p>
    <w:p>
      <w:pPr>
        <w:keepNext/>
        <w:widowControl/>
        <w:adjustRightInd w:val="0"/>
        <w:snapToGrid w:val="0"/>
        <w:spacing w:line="312" w:lineRule="auto"/>
        <w:jc w:val="center"/>
        <w:rPr>
          <w:rFonts w:eastAsia="仿宋_GB2312"/>
          <w:color w:val="auto"/>
          <w:sz w:val="32"/>
          <w:szCs w:val="28"/>
        </w:rPr>
      </w:pPr>
      <w:r>
        <w:rPr>
          <w:rFonts w:eastAsia="仿宋_GB2312"/>
          <w:i/>
          <w:color w:val="auto"/>
          <w:sz w:val="28"/>
          <w:szCs w:val="22"/>
        </w:rPr>
        <w:t>P</w:t>
      </w:r>
      <w:r>
        <w:rPr>
          <w:rFonts w:eastAsia="仿宋_GB2312"/>
          <w:i/>
          <w:color w:val="auto"/>
          <w:sz w:val="28"/>
          <w:szCs w:val="22"/>
          <w:vertAlign w:val="subscript"/>
        </w:rPr>
        <w:t>宗</w:t>
      </w:r>
      <w:r>
        <w:rPr>
          <w:rFonts w:eastAsia="仿宋_GB2312"/>
          <w:i/>
          <w:color w:val="auto"/>
          <w:sz w:val="28"/>
          <w:szCs w:val="22"/>
        </w:rPr>
        <w:t>＝u×K</w:t>
      </w:r>
      <w:r>
        <w:rPr>
          <w:rFonts w:eastAsia="仿宋_GB2312"/>
          <w:i/>
          <w:color w:val="auto"/>
          <w:sz w:val="28"/>
          <w:szCs w:val="22"/>
          <w:vertAlign w:val="subscript"/>
        </w:rPr>
        <w:t>lx</w:t>
      </w:r>
      <w:r>
        <w:rPr>
          <w:rFonts w:eastAsia="仿宋_GB2312"/>
          <w:i/>
          <w:color w:val="auto"/>
          <w:sz w:val="28"/>
          <w:szCs w:val="22"/>
        </w:rPr>
        <w:t>×K</w:t>
      </w:r>
      <w:r>
        <w:rPr>
          <w:rFonts w:eastAsia="仿宋_GB2312"/>
          <w:i/>
          <w:color w:val="auto"/>
          <w:sz w:val="28"/>
          <w:szCs w:val="22"/>
          <w:vertAlign w:val="subscript"/>
        </w:rPr>
        <w:t>y</w:t>
      </w:r>
      <w:r>
        <w:rPr>
          <w:rFonts w:eastAsia="仿宋_GB2312"/>
          <w:i/>
          <w:color w:val="auto"/>
          <w:sz w:val="28"/>
          <w:szCs w:val="22"/>
        </w:rPr>
        <w:t>×K</w:t>
      </w:r>
      <w:r>
        <w:rPr>
          <w:rFonts w:eastAsia="仿宋_GB2312"/>
          <w:i/>
          <w:color w:val="auto"/>
          <w:sz w:val="28"/>
          <w:szCs w:val="22"/>
          <w:vertAlign w:val="subscript"/>
        </w:rPr>
        <w:t>q</w:t>
      </w:r>
      <w:r>
        <w:rPr>
          <w:rFonts w:eastAsia="仿宋_GB2312"/>
          <w:i/>
          <w:color w:val="auto"/>
          <w:sz w:val="28"/>
          <w:szCs w:val="22"/>
        </w:rPr>
        <w:t>×K</w:t>
      </w:r>
      <w:r>
        <w:rPr>
          <w:rFonts w:eastAsia="仿宋_GB2312"/>
          <w:i/>
          <w:color w:val="auto"/>
          <w:sz w:val="28"/>
          <w:szCs w:val="22"/>
          <w:vertAlign w:val="subscript"/>
        </w:rPr>
        <w:t>s</w:t>
      </w:r>
      <w:r>
        <w:rPr>
          <w:rFonts w:eastAsia="仿宋_GB2312"/>
          <w:i/>
          <w:color w:val="auto"/>
          <w:sz w:val="28"/>
          <w:szCs w:val="22"/>
        </w:rPr>
        <w:t>×K</w:t>
      </w:r>
      <w:r>
        <w:rPr>
          <w:rFonts w:eastAsia="仿宋_GB2312"/>
          <w:i/>
          <w:color w:val="auto"/>
          <w:sz w:val="28"/>
          <w:szCs w:val="22"/>
          <w:vertAlign w:val="subscript"/>
        </w:rPr>
        <w:t>k</w:t>
      </w:r>
      <w:r>
        <w:rPr>
          <w:rFonts w:eastAsia="仿宋_GB2312"/>
          <w:i/>
          <w:color w:val="auto"/>
          <w:sz w:val="28"/>
          <w:szCs w:val="22"/>
        </w:rPr>
        <w:t>×K</w:t>
      </w:r>
      <w:r>
        <w:rPr>
          <w:rFonts w:eastAsia="仿宋_GB2312"/>
          <w:i/>
          <w:color w:val="auto"/>
          <w:sz w:val="28"/>
          <w:szCs w:val="22"/>
          <w:vertAlign w:val="subscript"/>
        </w:rPr>
        <w:t>j</w:t>
      </w:r>
      <w:r>
        <w:rPr>
          <w:rFonts w:eastAsia="仿宋_GB2312"/>
          <w:i/>
          <w:color w:val="auto"/>
          <w:sz w:val="28"/>
          <w:szCs w:val="22"/>
        </w:rPr>
        <w:t>×K</w:t>
      </w:r>
      <w:r>
        <w:rPr>
          <w:rFonts w:eastAsia="仿宋_GB2312"/>
          <w:i/>
          <w:color w:val="auto"/>
          <w:sz w:val="28"/>
          <w:szCs w:val="22"/>
          <w:vertAlign w:val="subscript"/>
        </w:rPr>
        <w:t>g</w:t>
      </w:r>
      <w:r>
        <w:rPr>
          <w:rFonts w:eastAsia="仿宋_GB2312"/>
          <w:i/>
          <w:color w:val="auto"/>
          <w:sz w:val="28"/>
          <w:szCs w:val="22"/>
        </w:rPr>
        <w:t xml:space="preserve"> ± D</w:t>
      </w:r>
    </w:p>
    <w:p>
      <w:pPr>
        <w:widowControl/>
        <w:adjustRightInd w:val="0"/>
        <w:snapToGrid w:val="0"/>
        <w:spacing w:line="312" w:lineRule="auto"/>
        <w:ind w:firstLine="560" w:firstLineChars="200"/>
        <w:jc w:val="left"/>
        <w:rPr>
          <w:rFonts w:eastAsia="仿宋_GB2312"/>
          <w:color w:val="auto"/>
          <w:sz w:val="28"/>
          <w:szCs w:val="28"/>
        </w:rPr>
      </w:pPr>
      <w:r>
        <w:rPr>
          <w:rFonts w:eastAsia="仿宋_GB2312"/>
          <w:color w:val="auto"/>
          <w:sz w:val="28"/>
          <w:szCs w:val="28"/>
        </w:rPr>
        <w:t>式中：</w:t>
      </w:r>
    </w:p>
    <w:tbl>
      <w:tblPr>
        <w:tblStyle w:val="88"/>
        <w:tblW w:w="7119" w:type="dxa"/>
        <w:jc w:val="center"/>
        <w:tblLayout w:type="fixed"/>
        <w:tblCellMar>
          <w:top w:w="0" w:type="dxa"/>
          <w:left w:w="108" w:type="dxa"/>
          <w:bottom w:w="0" w:type="dxa"/>
          <w:right w:w="108" w:type="dxa"/>
        </w:tblCellMar>
      </w:tblPr>
      <w:tblGrid>
        <w:gridCol w:w="655"/>
        <w:gridCol w:w="692"/>
        <w:gridCol w:w="5772"/>
      </w:tblGrid>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color w:val="auto"/>
                <w:sz w:val="24"/>
              </w:rPr>
            </w:pPr>
            <w:r>
              <w:rPr>
                <w:rFonts w:eastAsia="仿宋_GB2312"/>
                <w:i/>
                <w:color w:val="auto"/>
                <w:sz w:val="24"/>
              </w:rPr>
              <w:t>P</w:t>
            </w:r>
            <w:r>
              <w:rPr>
                <w:rFonts w:eastAsia="仿宋_GB2312"/>
                <w:i/>
                <w:color w:val="auto"/>
                <w:sz w:val="24"/>
                <w:vertAlign w:val="subscript"/>
              </w:rPr>
              <w:t>宗</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待估宗地地价</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u</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待估宗地所在路段的路线价</w:t>
            </w:r>
            <w:r>
              <w:rPr>
                <w:rFonts w:eastAsia="仿宋_GB2312"/>
                <w:color w:val="auto"/>
                <w:sz w:val="24"/>
                <w:szCs w:val="22"/>
              </w:rPr>
              <w:t>（首层楼面地价）</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lx</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楼层修正系数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剩余使用年期修正系数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q</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期日修正系数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s</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临街深度修正系数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k</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临街宽度修正系数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j</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临街类型修正系数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g</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个别因素修正系数</w:t>
            </w:r>
          </w:p>
        </w:tc>
      </w:tr>
      <w:tr>
        <w:tblPrEx>
          <w:tblCellMar>
            <w:top w:w="0" w:type="dxa"/>
            <w:left w:w="108" w:type="dxa"/>
            <w:bottom w:w="0" w:type="dxa"/>
            <w:right w:w="108" w:type="dxa"/>
          </w:tblCellMar>
        </w:tblPrEx>
        <w:trPr>
          <w:trHeight w:val="573" w:hRule="atLeast"/>
          <w:jc w:val="center"/>
        </w:trPr>
        <w:tc>
          <w:tcPr>
            <w:tcW w:w="655"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D</w:t>
            </w:r>
          </w:p>
        </w:tc>
        <w:tc>
          <w:tcPr>
            <w:tcW w:w="692" w:type="dxa"/>
            <w:vAlign w:val="center"/>
          </w:tcPr>
          <w:p>
            <w:pPr>
              <w:widowControl/>
              <w:adjustRightInd w:val="0"/>
              <w:snapToGrid w:val="0"/>
              <w:spacing w:line="240" w:lineRule="auto"/>
              <w:jc w:val="left"/>
              <w:rPr>
                <w:rFonts w:eastAsia="仿宋_GB2312"/>
                <w:color w:val="auto"/>
                <w:sz w:val="24"/>
                <w:u w:val="none"/>
              </w:rPr>
            </w:pPr>
            <w:r>
              <w:rPr>
                <w:rFonts w:eastAsia="仿宋_GB2312"/>
                <w:color w:val="auto"/>
                <w:sz w:val="24"/>
                <w:u w:val="none"/>
              </w:rPr>
              <w:t>—</w:t>
            </w:r>
          </w:p>
        </w:tc>
        <w:tc>
          <w:tcPr>
            <w:tcW w:w="5772"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土地开发程度修正值</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修正体系</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商业路线价对应的修正体系中，使用年期修正、期日修正、临街类型修正、其他个别因素修正、土地开发程度修正等，与商服用地基准地价修正体系相同。商业路线价特有的修正体系部分如下：</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（1）楼层修正</w:t>
      </w:r>
    </w:p>
    <w:p>
      <w:pPr>
        <w:adjustRightInd w:val="0"/>
        <w:snapToGrid w:val="0"/>
        <w:spacing w:line="312" w:lineRule="auto"/>
        <w:jc w:val="center"/>
        <w:rPr>
          <w:rFonts w:eastAsia="仿宋_GB2312"/>
          <w:b/>
          <w:color w:val="auto"/>
          <w:sz w:val="24"/>
        </w:rPr>
      </w:pPr>
      <w:r>
        <w:rPr>
          <w:rFonts w:hint="eastAsia" w:eastAsia="仿宋_GB2312"/>
          <w:b/>
          <w:bCs/>
          <w:color w:val="auto"/>
          <w:sz w:val="24"/>
        </w:rPr>
        <w:t xml:space="preserve">表4-2-1 </w:t>
      </w:r>
      <w:r>
        <w:rPr>
          <w:rFonts w:eastAsia="仿宋_GB2312"/>
          <w:b/>
          <w:color w:val="auto"/>
          <w:sz w:val="24"/>
        </w:rPr>
        <w:t xml:space="preserve"> </w:t>
      </w:r>
      <w:r>
        <w:rPr>
          <w:rFonts w:hint="eastAsia" w:eastAsia="仿宋_GB2312"/>
          <w:b/>
          <w:color w:val="auto"/>
          <w:sz w:val="24"/>
        </w:rPr>
        <w:t>商业路线价首层楼面地价楼层修正系数表</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4"/>
        <w:gridCol w:w="1154"/>
        <w:gridCol w:w="2167"/>
        <w:gridCol w:w="1826"/>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96" w:type="pct"/>
            <w:vAlign w:val="center"/>
          </w:tcPr>
          <w:p>
            <w:pPr>
              <w:adjustRightInd w:val="0"/>
              <w:snapToGrid w:val="0"/>
              <w:spacing w:line="240" w:lineRule="auto"/>
              <w:jc w:val="center"/>
              <w:rPr>
                <w:rFonts w:eastAsia="仿宋_GB2312" w:cs="宋体"/>
                <w:b/>
                <w:color w:val="auto"/>
                <w:kern w:val="0"/>
                <w:sz w:val="24"/>
                <w:szCs w:val="21"/>
              </w:rPr>
            </w:pPr>
            <w:r>
              <w:rPr>
                <w:rFonts w:hint="eastAsia" w:eastAsia="仿宋_GB2312" w:cs="宋体"/>
                <w:b/>
                <w:color w:val="auto"/>
                <w:kern w:val="0"/>
                <w:sz w:val="24"/>
                <w:szCs w:val="21"/>
              </w:rPr>
              <w:t>楼层</w:t>
            </w:r>
          </w:p>
        </w:tc>
        <w:tc>
          <w:tcPr>
            <w:tcW w:w="637" w:type="pct"/>
            <w:vAlign w:val="center"/>
          </w:tcPr>
          <w:p>
            <w:pPr>
              <w:adjustRightInd w:val="0"/>
              <w:snapToGrid w:val="0"/>
              <w:spacing w:line="240" w:lineRule="auto"/>
              <w:jc w:val="center"/>
              <w:rPr>
                <w:rFonts w:eastAsia="仿宋_GB2312" w:cs="宋体"/>
                <w:b/>
                <w:color w:val="auto"/>
                <w:kern w:val="0"/>
                <w:sz w:val="24"/>
                <w:szCs w:val="21"/>
              </w:rPr>
            </w:pPr>
            <w:r>
              <w:rPr>
                <w:rFonts w:eastAsia="仿宋_GB2312"/>
                <w:b/>
                <w:color w:val="auto"/>
                <w:kern w:val="0"/>
                <w:sz w:val="24"/>
                <w:szCs w:val="21"/>
              </w:rPr>
              <w:t>首层</w:t>
            </w:r>
          </w:p>
        </w:tc>
        <w:tc>
          <w:tcPr>
            <w:tcW w:w="1196" w:type="pct"/>
            <w:vAlign w:val="center"/>
          </w:tcPr>
          <w:p>
            <w:pPr>
              <w:adjustRightInd w:val="0"/>
              <w:snapToGrid w:val="0"/>
              <w:spacing w:line="240" w:lineRule="auto"/>
              <w:jc w:val="center"/>
              <w:rPr>
                <w:rFonts w:eastAsia="仿宋_GB2312" w:cs="宋体"/>
                <w:b/>
                <w:color w:val="auto"/>
                <w:kern w:val="0"/>
                <w:sz w:val="24"/>
                <w:szCs w:val="21"/>
              </w:rPr>
            </w:pPr>
            <w:r>
              <w:rPr>
                <w:rFonts w:eastAsia="仿宋_GB2312"/>
                <w:b/>
                <w:color w:val="auto"/>
                <w:kern w:val="0"/>
                <w:sz w:val="24"/>
                <w:szCs w:val="21"/>
              </w:rPr>
              <w:t>第二层、负一层</w:t>
            </w:r>
          </w:p>
        </w:tc>
        <w:tc>
          <w:tcPr>
            <w:tcW w:w="1008" w:type="pct"/>
            <w:vAlign w:val="center"/>
          </w:tcPr>
          <w:p>
            <w:pPr>
              <w:adjustRightInd w:val="0"/>
              <w:snapToGrid w:val="0"/>
              <w:spacing w:line="240" w:lineRule="auto"/>
              <w:jc w:val="center"/>
              <w:rPr>
                <w:rFonts w:eastAsia="仿宋_GB2312" w:cs="宋体"/>
                <w:b/>
                <w:color w:val="auto"/>
                <w:kern w:val="0"/>
                <w:sz w:val="24"/>
                <w:szCs w:val="21"/>
              </w:rPr>
            </w:pPr>
            <w:r>
              <w:rPr>
                <w:rFonts w:eastAsia="仿宋_GB2312"/>
                <w:b/>
                <w:color w:val="auto"/>
                <w:kern w:val="0"/>
                <w:sz w:val="24"/>
                <w:szCs w:val="21"/>
              </w:rPr>
              <w:t>第三层</w:t>
            </w:r>
          </w:p>
        </w:tc>
        <w:tc>
          <w:tcPr>
            <w:tcW w:w="1261" w:type="pct"/>
            <w:vAlign w:val="center"/>
          </w:tcPr>
          <w:p>
            <w:pPr>
              <w:adjustRightInd w:val="0"/>
              <w:snapToGrid w:val="0"/>
              <w:spacing w:line="240" w:lineRule="auto"/>
              <w:jc w:val="center"/>
              <w:rPr>
                <w:rFonts w:eastAsia="仿宋_GB2312" w:cs="宋体"/>
                <w:b/>
                <w:color w:val="auto"/>
                <w:kern w:val="0"/>
                <w:sz w:val="24"/>
                <w:szCs w:val="21"/>
              </w:rPr>
            </w:pPr>
            <w:r>
              <w:rPr>
                <w:rFonts w:eastAsia="仿宋_GB2312"/>
                <w:b/>
                <w:color w:val="auto"/>
                <w:kern w:val="0"/>
                <w:sz w:val="24"/>
                <w:szCs w:val="21"/>
              </w:rPr>
              <w:t>第四层及以上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96" w:type="pct"/>
            <w:vAlign w:val="center"/>
          </w:tcPr>
          <w:p>
            <w:pPr>
              <w:adjustRightInd w:val="0"/>
              <w:snapToGrid w:val="0"/>
              <w:spacing w:line="240" w:lineRule="auto"/>
              <w:jc w:val="center"/>
              <w:rPr>
                <w:rFonts w:eastAsia="仿宋_GB2312" w:cs="宋体"/>
                <w:b/>
                <w:bCs/>
                <w:color w:val="auto"/>
                <w:kern w:val="0"/>
                <w:sz w:val="24"/>
                <w:szCs w:val="21"/>
              </w:rPr>
            </w:pPr>
            <w:r>
              <w:rPr>
                <w:rFonts w:hint="eastAsia" w:eastAsia="仿宋_GB2312" w:cs="宋体"/>
                <w:b/>
                <w:bCs/>
                <w:color w:val="auto"/>
                <w:kern w:val="0"/>
                <w:sz w:val="24"/>
                <w:szCs w:val="21"/>
              </w:rPr>
              <w:t>修正系数</w:t>
            </w:r>
          </w:p>
        </w:tc>
        <w:tc>
          <w:tcPr>
            <w:tcW w:w="637" w:type="pct"/>
            <w:vAlign w:val="center"/>
          </w:tcPr>
          <w:p>
            <w:pPr>
              <w:adjustRightInd w:val="0"/>
              <w:snapToGrid w:val="0"/>
              <w:spacing w:line="240" w:lineRule="auto"/>
              <w:jc w:val="center"/>
              <w:rPr>
                <w:rFonts w:eastAsia="仿宋_GB2312"/>
                <w:color w:val="auto"/>
                <w:sz w:val="24"/>
              </w:rPr>
            </w:pPr>
            <w:r>
              <w:rPr>
                <w:rFonts w:eastAsia="仿宋_GB2312"/>
                <w:color w:val="auto"/>
                <w:sz w:val="24"/>
              </w:rPr>
              <w:t>1.0</w:t>
            </w:r>
          </w:p>
        </w:tc>
        <w:tc>
          <w:tcPr>
            <w:tcW w:w="1196" w:type="pct"/>
            <w:vAlign w:val="center"/>
          </w:tcPr>
          <w:p>
            <w:pPr>
              <w:adjustRightInd w:val="0"/>
              <w:snapToGrid w:val="0"/>
              <w:spacing w:line="240" w:lineRule="auto"/>
              <w:jc w:val="center"/>
              <w:rPr>
                <w:rFonts w:eastAsia="仿宋_GB2312"/>
                <w:color w:val="auto"/>
                <w:sz w:val="24"/>
              </w:rPr>
            </w:pPr>
            <w:r>
              <w:rPr>
                <w:rFonts w:eastAsia="仿宋_GB2312"/>
                <w:color w:val="auto"/>
                <w:sz w:val="24"/>
              </w:rPr>
              <w:t>0.3-0.5</w:t>
            </w:r>
          </w:p>
        </w:tc>
        <w:tc>
          <w:tcPr>
            <w:tcW w:w="1008" w:type="pct"/>
            <w:vAlign w:val="center"/>
          </w:tcPr>
          <w:p>
            <w:pPr>
              <w:adjustRightInd w:val="0"/>
              <w:snapToGrid w:val="0"/>
              <w:spacing w:line="240" w:lineRule="auto"/>
              <w:jc w:val="center"/>
              <w:rPr>
                <w:rFonts w:eastAsia="仿宋_GB2312"/>
                <w:color w:val="auto"/>
                <w:sz w:val="24"/>
              </w:rPr>
            </w:pPr>
            <w:r>
              <w:rPr>
                <w:rFonts w:eastAsia="仿宋_GB2312"/>
                <w:color w:val="auto"/>
                <w:sz w:val="24"/>
              </w:rPr>
              <w:t>0.25-0.45</w:t>
            </w:r>
          </w:p>
        </w:tc>
        <w:tc>
          <w:tcPr>
            <w:tcW w:w="1261" w:type="pct"/>
            <w:vAlign w:val="center"/>
          </w:tcPr>
          <w:p>
            <w:pPr>
              <w:adjustRightInd w:val="0"/>
              <w:snapToGrid w:val="0"/>
              <w:spacing w:line="240" w:lineRule="auto"/>
              <w:jc w:val="center"/>
              <w:rPr>
                <w:rFonts w:eastAsia="仿宋_GB2312"/>
                <w:color w:val="auto"/>
                <w:sz w:val="24"/>
              </w:rPr>
            </w:pPr>
            <w:r>
              <w:rPr>
                <w:rFonts w:eastAsia="仿宋_GB2312"/>
                <w:color w:val="auto"/>
                <w:sz w:val="24"/>
              </w:rPr>
              <w:t>0.20-0.35</w:t>
            </w:r>
          </w:p>
        </w:tc>
      </w:tr>
    </w:tbl>
    <w:p>
      <w:pPr>
        <w:adjustRightInd w:val="0"/>
        <w:snapToGrid w:val="0"/>
        <w:spacing w:line="264" w:lineRule="auto"/>
        <w:ind w:firstLine="404" w:firstLineChars="200"/>
        <w:rPr>
          <w:rFonts w:eastAsia="仿宋_GB2312"/>
          <w:color w:val="auto"/>
          <w:spacing w:val="-4"/>
          <w:szCs w:val="21"/>
        </w:rPr>
      </w:pPr>
      <w:r>
        <w:rPr>
          <w:rFonts w:eastAsia="仿宋_GB2312"/>
          <w:color w:val="auto"/>
          <w:spacing w:val="-4"/>
          <w:szCs w:val="21"/>
        </w:rPr>
        <w:t>注：本表适用于已建成项目采用商业路线价首层楼面地价测算宗地价格。在具体宗地评估中，评估专业人员应根据待估宗地实际开发情况自行确定修正系数，如无特殊因素影响，楼层越高修正系数越低</w:t>
      </w:r>
      <w:r>
        <w:rPr>
          <w:rFonts w:hint="eastAsia" w:eastAsia="仿宋_GB2312"/>
          <w:color w:val="auto"/>
          <w:spacing w:val="-4"/>
          <w:szCs w:val="21"/>
        </w:rPr>
        <w:t>。</w:t>
      </w:r>
    </w:p>
    <w:p>
      <w:pPr>
        <w:rPr>
          <w:rFonts w:hint="eastAsia" w:eastAsia="仿宋_GB2312"/>
          <w:b/>
          <w:color w:val="auto"/>
          <w:sz w:val="28"/>
          <w:szCs w:val="28"/>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（2）临街深度修正</w:t>
      </w:r>
    </w:p>
    <w:p>
      <w:pPr>
        <w:adjustRightInd w:val="0"/>
        <w:snapToGrid w:val="0"/>
        <w:spacing w:line="312" w:lineRule="auto"/>
        <w:jc w:val="center"/>
        <w:rPr>
          <w:rFonts w:eastAsia="仿宋_GB2312"/>
          <w:b/>
          <w:color w:val="auto"/>
          <w:sz w:val="24"/>
        </w:rPr>
      </w:pPr>
      <w:r>
        <w:rPr>
          <w:rFonts w:hint="eastAsia" w:eastAsia="仿宋_GB2312"/>
          <w:b/>
          <w:bCs/>
          <w:color w:val="auto"/>
          <w:sz w:val="24"/>
        </w:rPr>
        <w:t xml:space="preserve">表4-2-2 </w:t>
      </w:r>
      <w:r>
        <w:rPr>
          <w:rFonts w:eastAsia="仿宋_GB2312"/>
          <w:b/>
          <w:color w:val="auto"/>
          <w:sz w:val="24"/>
        </w:rPr>
        <w:t xml:space="preserve"> </w:t>
      </w:r>
      <w:r>
        <w:rPr>
          <w:rFonts w:hint="eastAsia" w:eastAsia="仿宋_GB2312"/>
          <w:b/>
          <w:color w:val="auto"/>
          <w:sz w:val="24"/>
        </w:rPr>
        <w:t>临街深度修正系数表</w:t>
      </w:r>
    </w:p>
    <w:tbl>
      <w:tblPr>
        <w:tblStyle w:val="88"/>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8"/>
        <w:gridCol w:w="1396"/>
        <w:gridCol w:w="1396"/>
        <w:gridCol w:w="1396"/>
        <w:gridCol w:w="1256"/>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blHeader/>
          <w:jc w:val="center"/>
        </w:trPr>
        <w:tc>
          <w:tcPr>
            <w:tcW w:w="2318" w:type="dxa"/>
            <w:tcBorders>
              <w:top w:val="single" w:color="auto" w:sz="4" w:space="0"/>
              <w:left w:val="single" w:color="auto" w:sz="4" w:space="0"/>
              <w:bottom w:val="single" w:color="auto" w:sz="4" w:space="0"/>
              <w:right w:val="single" w:color="auto" w:sz="4" w:space="0"/>
            </w:tcBorders>
            <w:vAlign w:val="center"/>
          </w:tcPr>
          <w:p>
            <w:pPr>
              <w:keepNext/>
              <w:widowControl/>
              <w:adjustRightInd w:val="0"/>
              <w:snapToGrid w:val="0"/>
              <w:spacing w:line="240" w:lineRule="auto"/>
              <w:jc w:val="center"/>
              <w:rPr>
                <w:rFonts w:eastAsia="仿宋_GB2312"/>
                <w:b/>
                <w:color w:val="auto"/>
                <w:spacing w:val="-20"/>
                <w:sz w:val="24"/>
              </w:rPr>
            </w:pPr>
            <w:r>
              <w:rPr>
                <w:rFonts w:eastAsia="仿宋_GB2312"/>
                <w:b/>
                <w:color w:val="auto"/>
                <w:spacing w:val="-20"/>
                <w:sz w:val="24"/>
              </w:rPr>
              <w:t>临街深度（米）</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s≤3</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3＜s≤5</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5＜s≤7</w:t>
            </w:r>
          </w:p>
        </w:tc>
        <w:tc>
          <w:tcPr>
            <w:tcW w:w="125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7＜s≤10</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10＜s≤13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blHeader/>
          <w:jc w:val="center"/>
        </w:trPr>
        <w:tc>
          <w:tcPr>
            <w:tcW w:w="2318" w:type="dxa"/>
            <w:tcBorders>
              <w:top w:val="single" w:color="auto" w:sz="4" w:space="0"/>
              <w:left w:val="single" w:color="auto" w:sz="4" w:space="0"/>
              <w:bottom w:val="single" w:color="auto" w:sz="4" w:space="0"/>
              <w:right w:val="single" w:color="auto" w:sz="4" w:space="0"/>
            </w:tcBorders>
            <w:vAlign w:val="center"/>
          </w:tcPr>
          <w:p>
            <w:pPr>
              <w:keepNext/>
              <w:widowControl/>
              <w:adjustRightInd w:val="0"/>
              <w:snapToGrid w:val="0"/>
              <w:spacing w:line="240" w:lineRule="auto"/>
              <w:jc w:val="center"/>
              <w:rPr>
                <w:rFonts w:eastAsia="仿宋_GB2312"/>
                <w:b/>
                <w:color w:val="auto"/>
                <w:spacing w:val="-20"/>
                <w:sz w:val="24"/>
              </w:rPr>
            </w:pPr>
            <w:r>
              <w:rPr>
                <w:rFonts w:eastAsia="仿宋_GB2312"/>
                <w:b/>
                <w:color w:val="auto"/>
                <w:spacing w:val="-20"/>
                <w:sz w:val="24"/>
              </w:rPr>
              <w:t>修正系数（Ks）</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1.42</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1.2</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1.1</w:t>
            </w:r>
          </w:p>
        </w:tc>
        <w:tc>
          <w:tcPr>
            <w:tcW w:w="125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blHeader/>
          <w:jc w:val="center"/>
        </w:trPr>
        <w:tc>
          <w:tcPr>
            <w:tcW w:w="2318" w:type="dxa"/>
            <w:tcBorders>
              <w:top w:val="single" w:color="auto" w:sz="4" w:space="0"/>
              <w:left w:val="single" w:color="auto" w:sz="4" w:space="0"/>
              <w:bottom w:val="single" w:color="auto" w:sz="4" w:space="0"/>
              <w:right w:val="single" w:color="auto" w:sz="4" w:space="0"/>
            </w:tcBorders>
            <w:vAlign w:val="center"/>
          </w:tcPr>
          <w:p>
            <w:pPr>
              <w:keepNext/>
              <w:widowControl/>
              <w:adjustRightInd w:val="0"/>
              <w:snapToGrid w:val="0"/>
              <w:spacing w:line="240" w:lineRule="auto"/>
              <w:jc w:val="center"/>
              <w:rPr>
                <w:rFonts w:eastAsia="仿宋_GB2312"/>
                <w:b/>
                <w:color w:val="auto"/>
                <w:spacing w:val="-20"/>
                <w:sz w:val="24"/>
              </w:rPr>
            </w:pPr>
            <w:r>
              <w:rPr>
                <w:rFonts w:eastAsia="仿宋_GB2312"/>
                <w:b/>
                <w:color w:val="auto"/>
                <w:spacing w:val="-20"/>
                <w:sz w:val="24"/>
              </w:rPr>
              <w:t>临街深度（米）</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13＜s≤16</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16＜s≤20</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20＜s≤30</w:t>
            </w:r>
          </w:p>
        </w:tc>
        <w:tc>
          <w:tcPr>
            <w:tcW w:w="125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blHeader/>
          <w:jc w:val="center"/>
        </w:trPr>
        <w:tc>
          <w:tcPr>
            <w:tcW w:w="2318" w:type="dxa"/>
            <w:tcBorders>
              <w:top w:val="single" w:color="auto" w:sz="4" w:space="0"/>
              <w:left w:val="single" w:color="auto" w:sz="4" w:space="0"/>
              <w:bottom w:val="single" w:color="auto" w:sz="4" w:space="0"/>
              <w:right w:val="single" w:color="auto" w:sz="4" w:space="0"/>
            </w:tcBorders>
            <w:vAlign w:val="center"/>
          </w:tcPr>
          <w:p>
            <w:pPr>
              <w:keepNext/>
              <w:widowControl/>
              <w:adjustRightInd w:val="0"/>
              <w:snapToGrid w:val="0"/>
              <w:spacing w:line="240" w:lineRule="auto"/>
              <w:jc w:val="center"/>
              <w:rPr>
                <w:rFonts w:eastAsia="仿宋_GB2312"/>
                <w:b/>
                <w:color w:val="auto"/>
                <w:spacing w:val="-20"/>
                <w:sz w:val="24"/>
              </w:rPr>
            </w:pPr>
            <w:r>
              <w:rPr>
                <w:rFonts w:eastAsia="仿宋_GB2312"/>
                <w:b/>
                <w:color w:val="auto"/>
                <w:spacing w:val="-20"/>
                <w:sz w:val="24"/>
              </w:rPr>
              <w:t>修正系数（Ks）</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0.9</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0.85</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0.8</w:t>
            </w:r>
          </w:p>
        </w:tc>
        <w:tc>
          <w:tcPr>
            <w:tcW w:w="125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w:t>
            </w:r>
          </w:p>
        </w:tc>
        <w:tc>
          <w:tcPr>
            <w:tcW w:w="1396" w:type="dxa"/>
            <w:tcBorders>
              <w:top w:val="single" w:color="auto" w:sz="4" w:space="0"/>
              <w:left w:val="single" w:color="auto" w:sz="4" w:space="0"/>
              <w:bottom w:val="single" w:color="auto" w:sz="4" w:space="0"/>
              <w:right w:val="single" w:color="auto" w:sz="4" w:space="0"/>
            </w:tcBorders>
            <w:noWrap/>
            <w:vAlign w:val="center"/>
          </w:tcPr>
          <w:p>
            <w:pPr>
              <w:keepNext/>
              <w:widowControl/>
              <w:adjustRightInd w:val="0"/>
              <w:snapToGrid w:val="0"/>
              <w:spacing w:line="240" w:lineRule="auto"/>
              <w:jc w:val="center"/>
              <w:rPr>
                <w:rFonts w:eastAsia="仿宋_GB2312"/>
                <w:color w:val="auto"/>
                <w:spacing w:val="-20"/>
                <w:sz w:val="24"/>
              </w:rPr>
            </w:pPr>
            <w:r>
              <w:rPr>
                <w:rFonts w:eastAsia="仿宋_GB2312"/>
                <w:color w:val="auto"/>
                <w:spacing w:val="-20"/>
                <w:sz w:val="24"/>
              </w:rPr>
              <w:t>/</w:t>
            </w:r>
          </w:p>
        </w:tc>
      </w:tr>
    </w:tbl>
    <w:p>
      <w:pPr>
        <w:adjustRightInd w:val="0"/>
        <w:snapToGrid w:val="0"/>
        <w:spacing w:line="264" w:lineRule="auto"/>
        <w:ind w:firstLine="420" w:firstLineChars="200"/>
        <w:rPr>
          <w:rFonts w:hint="eastAsia" w:eastAsia="仿宋_GB2312"/>
          <w:color w:val="auto"/>
          <w:szCs w:val="21"/>
        </w:rPr>
      </w:pPr>
      <w:r>
        <w:rPr>
          <w:rFonts w:hint="eastAsia" w:eastAsia="仿宋_GB2312"/>
          <w:color w:val="auto"/>
          <w:szCs w:val="21"/>
        </w:rPr>
        <w:t>注：待估价宗地所处地段存在路线价的商服用地，临街深度小于或等于30米的宗地，执行所在路段的商业路线价标准；临街深度大于30米的宗地，执行所在区域级别基准地价标准。</w:t>
      </w:r>
    </w:p>
    <w:p>
      <w:pPr>
        <w:adjustRightInd w:val="0"/>
        <w:snapToGrid w:val="0"/>
        <w:spacing w:line="264" w:lineRule="auto"/>
        <w:ind w:firstLine="420" w:firstLineChars="200"/>
        <w:rPr>
          <w:rFonts w:hint="eastAsia" w:eastAsia="仿宋_GB2312"/>
          <w:color w:val="auto"/>
          <w:szCs w:val="21"/>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（3）临街宽度修正</w:t>
      </w:r>
    </w:p>
    <w:p>
      <w:pPr>
        <w:keepNext/>
        <w:adjustRightInd w:val="0"/>
        <w:snapToGrid w:val="0"/>
        <w:spacing w:line="312" w:lineRule="auto"/>
        <w:jc w:val="center"/>
        <w:rPr>
          <w:rFonts w:eastAsia="仿宋_GB2312"/>
          <w:b/>
          <w:color w:val="auto"/>
          <w:sz w:val="24"/>
        </w:rPr>
      </w:pPr>
      <w:r>
        <w:rPr>
          <w:rFonts w:hint="eastAsia" w:eastAsia="仿宋_GB2312"/>
          <w:b/>
          <w:bCs/>
          <w:color w:val="auto"/>
          <w:sz w:val="24"/>
        </w:rPr>
        <w:t xml:space="preserve">表4-2-3 </w:t>
      </w:r>
      <w:r>
        <w:rPr>
          <w:rFonts w:eastAsia="仿宋_GB2312"/>
          <w:b/>
          <w:color w:val="auto"/>
          <w:sz w:val="24"/>
        </w:rPr>
        <w:t xml:space="preserve"> </w:t>
      </w:r>
      <w:r>
        <w:rPr>
          <w:rFonts w:hint="eastAsia" w:eastAsia="仿宋_GB2312"/>
          <w:b/>
          <w:color w:val="auto"/>
          <w:sz w:val="24"/>
        </w:rPr>
        <w:t>临街宽度修正系数表</w:t>
      </w:r>
    </w:p>
    <w:tbl>
      <w:tblPr>
        <w:tblStyle w:val="88"/>
        <w:tblW w:w="5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5"/>
        <w:gridCol w:w="2296"/>
        <w:gridCol w:w="2296"/>
        <w:gridCol w:w="2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50" w:type="pct"/>
            <w:vAlign w:val="center"/>
          </w:tcPr>
          <w:p>
            <w:pPr>
              <w:adjustRightInd w:val="0"/>
              <w:snapToGrid w:val="0"/>
              <w:spacing w:line="240" w:lineRule="auto"/>
              <w:jc w:val="center"/>
              <w:rPr>
                <w:rFonts w:eastAsia="仿宋_GB2312"/>
                <w:b/>
                <w:color w:val="auto"/>
                <w:spacing w:val="-20"/>
                <w:sz w:val="24"/>
              </w:rPr>
            </w:pPr>
            <w:r>
              <w:rPr>
                <w:rFonts w:eastAsia="仿宋_GB2312"/>
                <w:b/>
                <w:color w:val="auto"/>
                <w:spacing w:val="-20"/>
                <w:sz w:val="24"/>
              </w:rPr>
              <w:t>临街宽度（米）</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K≤2</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2＜k＜4</w:t>
            </w:r>
          </w:p>
        </w:tc>
        <w:tc>
          <w:tcPr>
            <w:tcW w:w="1248"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4≤k≤6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50" w:type="pct"/>
            <w:vAlign w:val="center"/>
          </w:tcPr>
          <w:p>
            <w:pPr>
              <w:adjustRightInd w:val="0"/>
              <w:snapToGrid w:val="0"/>
              <w:spacing w:line="240" w:lineRule="auto"/>
              <w:jc w:val="center"/>
              <w:rPr>
                <w:rFonts w:eastAsia="仿宋_GB2312"/>
                <w:b/>
                <w:color w:val="auto"/>
                <w:spacing w:val="-20"/>
                <w:sz w:val="24"/>
              </w:rPr>
            </w:pPr>
            <w:r>
              <w:rPr>
                <w:rFonts w:eastAsia="仿宋_GB2312"/>
                <w:b/>
                <w:color w:val="auto"/>
                <w:spacing w:val="-20"/>
                <w:sz w:val="24"/>
              </w:rPr>
              <w:t>修正系数(Kk)</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0.81</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0.92</w:t>
            </w:r>
          </w:p>
        </w:tc>
        <w:tc>
          <w:tcPr>
            <w:tcW w:w="1248"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50" w:type="pct"/>
            <w:vAlign w:val="center"/>
          </w:tcPr>
          <w:p>
            <w:pPr>
              <w:adjustRightInd w:val="0"/>
              <w:snapToGrid w:val="0"/>
              <w:spacing w:line="240" w:lineRule="auto"/>
              <w:jc w:val="center"/>
              <w:rPr>
                <w:rFonts w:eastAsia="仿宋_GB2312"/>
                <w:b/>
                <w:color w:val="auto"/>
                <w:spacing w:val="-20"/>
                <w:sz w:val="24"/>
              </w:rPr>
            </w:pPr>
            <w:r>
              <w:rPr>
                <w:rFonts w:eastAsia="仿宋_GB2312"/>
                <w:b/>
                <w:color w:val="auto"/>
                <w:spacing w:val="-20"/>
                <w:sz w:val="24"/>
              </w:rPr>
              <w:t>临街宽度（米）</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6＜k≤9</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9＜k≤12</w:t>
            </w:r>
          </w:p>
        </w:tc>
        <w:tc>
          <w:tcPr>
            <w:tcW w:w="1248"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K＞12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250" w:type="pct"/>
            <w:vAlign w:val="center"/>
          </w:tcPr>
          <w:p>
            <w:pPr>
              <w:adjustRightInd w:val="0"/>
              <w:snapToGrid w:val="0"/>
              <w:spacing w:line="240" w:lineRule="auto"/>
              <w:jc w:val="center"/>
              <w:rPr>
                <w:rFonts w:eastAsia="仿宋_GB2312"/>
                <w:b/>
                <w:color w:val="auto"/>
                <w:spacing w:val="-20"/>
                <w:sz w:val="24"/>
              </w:rPr>
            </w:pPr>
            <w:r>
              <w:rPr>
                <w:rFonts w:eastAsia="仿宋_GB2312"/>
                <w:b/>
                <w:color w:val="auto"/>
                <w:spacing w:val="-20"/>
                <w:sz w:val="24"/>
              </w:rPr>
              <w:t>修正系数(Kk)</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1.06</w:t>
            </w:r>
          </w:p>
        </w:tc>
        <w:tc>
          <w:tcPr>
            <w:tcW w:w="1250"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1.1</w:t>
            </w:r>
          </w:p>
        </w:tc>
        <w:tc>
          <w:tcPr>
            <w:tcW w:w="1248" w:type="pct"/>
            <w:vAlign w:val="center"/>
          </w:tcPr>
          <w:p>
            <w:pPr>
              <w:adjustRightInd w:val="0"/>
              <w:snapToGrid w:val="0"/>
              <w:spacing w:line="240" w:lineRule="auto"/>
              <w:jc w:val="center"/>
              <w:rPr>
                <w:rFonts w:eastAsia="仿宋_GB2312"/>
                <w:bCs/>
                <w:color w:val="auto"/>
                <w:spacing w:val="-20"/>
                <w:sz w:val="24"/>
              </w:rPr>
            </w:pPr>
            <w:r>
              <w:rPr>
                <w:rFonts w:eastAsia="仿宋_GB2312"/>
                <w:bCs/>
                <w:color w:val="auto"/>
                <w:spacing w:val="-20"/>
                <w:sz w:val="24"/>
              </w:rPr>
              <w:t>1.14</w:t>
            </w:r>
          </w:p>
        </w:tc>
      </w:tr>
    </w:tbl>
    <w:p>
      <w:pPr>
        <w:keepNext/>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52" w:name="_Toc214265659"/>
      <w:r>
        <w:rPr>
          <w:rFonts w:hint="eastAsia" w:ascii="楷体_GB2312" w:hAnsi="楷体_GB2312" w:eastAsia="楷体_GB2312" w:cs="楷体_GB2312"/>
          <w:b w:val="0"/>
          <w:bCs w:val="0"/>
          <w:color w:val="auto"/>
          <w:kern w:val="0"/>
          <w:sz w:val="32"/>
          <w:szCs w:val="32"/>
        </w:rPr>
        <w:t>（三）住宅用地基准地价修正体系</w:t>
      </w:r>
      <w:bookmarkEnd w:id="52"/>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新兴县住宅用地修正体系包括：区域因素修正、容积率修正、楼层分配系数修正、剩余使用年期修正、期日修正、个别因素修正、土地开发程度修正和二级用地类型修正等。</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计算公式</w:t>
      </w:r>
    </w:p>
    <w:p>
      <w:pPr>
        <w:keepNext/>
        <w:keepLines w:val="0"/>
        <w:pageBreakBefore w:val="0"/>
        <w:widowControl/>
        <w:kinsoku/>
        <w:wordWrap/>
        <w:overflowPunct/>
        <w:topLinePunct w:val="0"/>
        <w:autoSpaceDE/>
        <w:autoSpaceDN/>
        <w:bidi w:val="0"/>
        <w:adjustRightInd w:val="0"/>
        <w:snapToGrid w:val="0"/>
        <w:spacing w:line="240" w:lineRule="auto"/>
        <w:jc w:val="center"/>
        <w:textAlignment w:val="auto"/>
        <w:rPr>
          <w:rFonts w:eastAsia="仿宋_GB2312"/>
          <w:i/>
          <w:color w:val="auto"/>
          <w:sz w:val="32"/>
          <w:szCs w:val="32"/>
        </w:rPr>
      </w:pPr>
      <w:r>
        <w:rPr>
          <w:rFonts w:eastAsia="仿宋_GB2312"/>
          <w:i/>
          <w:color w:val="auto"/>
          <w:sz w:val="32"/>
          <w:szCs w:val="32"/>
        </w:rPr>
        <w:t>P</w:t>
      </w:r>
      <w:r>
        <w:rPr>
          <w:rFonts w:eastAsia="仿宋_GB2312"/>
          <w:i/>
          <w:color w:val="auto"/>
          <w:sz w:val="32"/>
          <w:szCs w:val="32"/>
          <w:vertAlign w:val="subscript"/>
        </w:rPr>
        <w:t>开</w:t>
      </w:r>
      <w:r>
        <w:rPr>
          <w:rFonts w:eastAsia="仿宋_GB2312"/>
          <w:i/>
          <w:color w:val="auto"/>
          <w:sz w:val="32"/>
          <w:szCs w:val="32"/>
        </w:rPr>
        <w:t>＝P</w:t>
      </w:r>
      <w:r>
        <w:rPr>
          <w:rFonts w:eastAsia="仿宋_GB2312"/>
          <w:i/>
          <w:color w:val="auto"/>
          <w:sz w:val="32"/>
          <w:szCs w:val="32"/>
          <w:vertAlign w:val="subscript"/>
        </w:rPr>
        <w:t>楼</w:t>
      </w:r>
      <w:r>
        <w:rPr>
          <w:rFonts w:eastAsia="仿宋_GB2312"/>
          <w:i/>
          <w:color w:val="auto"/>
          <w:sz w:val="32"/>
          <w:szCs w:val="32"/>
        </w:rPr>
        <w:t>×K</w:t>
      </w:r>
      <w:r>
        <w:rPr>
          <w:rFonts w:eastAsia="仿宋_GB2312"/>
          <w:i/>
          <w:color w:val="auto"/>
          <w:sz w:val="32"/>
          <w:szCs w:val="32"/>
          <w:vertAlign w:val="subscript"/>
        </w:rPr>
        <w:t>t</w:t>
      </w:r>
      <w:r>
        <w:rPr>
          <w:rFonts w:eastAsia="仿宋_GB2312"/>
          <w:i/>
          <w:color w:val="auto"/>
          <w:sz w:val="32"/>
          <w:szCs w:val="32"/>
        </w:rPr>
        <w:t>×（1+</w:t>
      </w:r>
      <w:r>
        <w:rPr>
          <w:rFonts w:eastAsia="仿宋_GB2312"/>
          <w:color w:val="auto"/>
          <w:sz w:val="32"/>
          <w:szCs w:val="32"/>
        </w:rPr>
        <w:fldChar w:fldCharType="begin"/>
      </w:r>
      <w:r>
        <w:rPr>
          <w:rFonts w:eastAsia="仿宋_GB2312"/>
          <w:color w:val="auto"/>
          <w:sz w:val="32"/>
          <w:szCs w:val="32"/>
        </w:rPr>
        <w:instrText xml:space="preserve"> QUOTE </w:instrText>
      </w:r>
      <w:r>
        <w:rPr>
          <w:rFonts w:eastAsia="仿宋_GB2312"/>
          <w:color w:val="auto"/>
          <w:position w:val="-21"/>
          <w:sz w:val="32"/>
          <w:szCs w:val="32"/>
        </w:rPr>
        <w:pict>
          <v:shape id="_x0000_i1025" o:spt="75" type="#_x0000_t75" style="height:28.8pt;width:44.45pt;" filled="f" o:preferrelative="t" stroked="f" coordsize="21600,21600" equationxml="&lt;">
            <v:path/>
            <v:fill on="f" focussize="0,0"/>
            <v:stroke on="f" joinstyle="miter"/>
            <v:imagedata r:id="rId14" chromakey="#FFFFFF" o:title=""/>
            <o:lock v:ext="edit" aspectratio="t"/>
            <w10:wrap type="none"/>
            <w10:anchorlock/>
          </v:shape>
        </w:pict>
      </w:r>
      <w:r>
        <w:rPr>
          <w:rFonts w:eastAsia="仿宋_GB2312"/>
          <w:color w:val="auto"/>
          <w:sz w:val="32"/>
          <w:szCs w:val="32"/>
        </w:rPr>
        <w:fldChar w:fldCharType="separate"/>
      </w:r>
      <w:r>
        <w:rPr>
          <w:rFonts w:eastAsia="仿宋_GB2312"/>
          <w:color w:val="auto"/>
          <w:position w:val="-21"/>
          <w:sz w:val="32"/>
          <w:szCs w:val="32"/>
        </w:rPr>
        <w:pict>
          <v:shape id="_x0000_i1026" o:spt="75" type="#_x0000_t75" style="height:28.8pt;width:44.45pt;" filled="f" o:preferrelative="t" stroked="f" coordsize="21600,21600" equationxml="&lt;">
            <v:path/>
            <v:fill on="f" focussize="0,0"/>
            <v:stroke on="f" joinstyle="miter"/>
            <v:imagedata r:id="rId14" chromakey="#FFFFFF" o:title=""/>
            <o:lock v:ext="edit" aspectratio="t"/>
            <w10:wrap type="none"/>
            <w10:anchorlock/>
          </v:shape>
        </w:pict>
      </w:r>
      <w:r>
        <w:rPr>
          <w:rFonts w:eastAsia="仿宋_GB2312"/>
          <w:color w:val="auto"/>
          <w:sz w:val="32"/>
          <w:szCs w:val="32"/>
        </w:rPr>
        <w:fldChar w:fldCharType="end"/>
      </w:r>
      <w:r>
        <w:rPr>
          <w:rFonts w:eastAsia="仿宋_GB2312"/>
          <w:i/>
          <w:color w:val="auto"/>
          <w:sz w:val="32"/>
          <w:szCs w:val="32"/>
        </w:rPr>
        <w:t>）×[Klf]×K</w:t>
      </w:r>
      <w:r>
        <w:rPr>
          <w:rFonts w:eastAsia="仿宋_GB2312"/>
          <w:i/>
          <w:color w:val="auto"/>
          <w:sz w:val="32"/>
          <w:szCs w:val="32"/>
          <w:vertAlign w:val="subscript"/>
        </w:rPr>
        <w:t>v</w:t>
      </w:r>
      <w:r>
        <w:rPr>
          <w:rFonts w:eastAsia="仿宋_GB2312"/>
          <w:i/>
          <w:color w:val="auto"/>
          <w:sz w:val="32"/>
          <w:szCs w:val="32"/>
        </w:rPr>
        <w:t>×K</w:t>
      </w:r>
      <w:r>
        <w:rPr>
          <w:rFonts w:eastAsia="仿宋_GB2312"/>
          <w:i/>
          <w:color w:val="auto"/>
          <w:sz w:val="32"/>
          <w:szCs w:val="32"/>
          <w:vertAlign w:val="subscript"/>
        </w:rPr>
        <w:t>y</w:t>
      </w:r>
      <w:r>
        <w:rPr>
          <w:rFonts w:eastAsia="仿宋_GB2312"/>
          <w:i/>
          <w:color w:val="auto"/>
          <w:sz w:val="32"/>
          <w:szCs w:val="32"/>
        </w:rPr>
        <w:t>×K</w:t>
      </w:r>
      <w:r>
        <w:rPr>
          <w:rFonts w:eastAsia="仿宋_GB2312"/>
          <w:i/>
          <w:color w:val="auto"/>
          <w:sz w:val="32"/>
          <w:szCs w:val="32"/>
          <w:vertAlign w:val="subscript"/>
        </w:rPr>
        <w:t>q</w:t>
      </w:r>
      <w:r>
        <w:rPr>
          <w:rFonts w:eastAsia="仿宋_GB2312"/>
          <w:i/>
          <w:color w:val="auto"/>
          <w:sz w:val="32"/>
          <w:szCs w:val="32"/>
        </w:rPr>
        <w:t>×K</w:t>
      </w:r>
      <w:r>
        <w:rPr>
          <w:rFonts w:eastAsia="仿宋_GB2312"/>
          <w:i/>
          <w:color w:val="auto"/>
          <w:sz w:val="32"/>
          <w:szCs w:val="32"/>
          <w:vertAlign w:val="subscript"/>
        </w:rPr>
        <w:t>g</w:t>
      </w:r>
      <w:r>
        <w:rPr>
          <w:rFonts w:eastAsia="仿宋_GB2312"/>
          <w:i/>
          <w:color w:val="auto"/>
          <w:sz w:val="32"/>
          <w:szCs w:val="32"/>
        </w:rPr>
        <w:t>±D</w:t>
      </w:r>
    </w:p>
    <w:p>
      <w:pPr>
        <w:widowControl/>
        <w:snapToGrid w:val="0"/>
        <w:spacing w:line="380" w:lineRule="exact"/>
        <w:ind w:firstLine="437"/>
        <w:jc w:val="left"/>
        <w:rPr>
          <w:rFonts w:eastAsia="仿宋_GB2312"/>
          <w:color w:val="auto"/>
          <w:sz w:val="32"/>
          <w:szCs w:val="32"/>
        </w:rPr>
      </w:pPr>
    </w:p>
    <w:p>
      <w:pPr>
        <w:widowControl/>
        <w:snapToGrid w:val="0"/>
        <w:spacing w:line="380" w:lineRule="exact"/>
        <w:ind w:firstLine="437"/>
        <w:jc w:val="left"/>
        <w:rPr>
          <w:rFonts w:eastAsia="仿宋_GB2312"/>
          <w:color w:val="auto"/>
          <w:sz w:val="32"/>
          <w:szCs w:val="32"/>
        </w:rPr>
      </w:pPr>
      <w:r>
        <w:rPr>
          <w:rFonts w:eastAsia="仿宋_GB2312"/>
          <w:color w:val="auto"/>
          <w:sz w:val="32"/>
          <w:szCs w:val="32"/>
        </w:rPr>
        <w:t>式中：</w:t>
      </w:r>
    </w:p>
    <w:tbl>
      <w:tblPr>
        <w:tblStyle w:val="88"/>
        <w:tblW w:w="7719" w:type="dxa"/>
        <w:jc w:val="center"/>
        <w:tblLayout w:type="fixed"/>
        <w:tblCellMar>
          <w:top w:w="0" w:type="dxa"/>
          <w:left w:w="108" w:type="dxa"/>
          <w:bottom w:w="0" w:type="dxa"/>
          <w:right w:w="108" w:type="dxa"/>
        </w:tblCellMar>
      </w:tblPr>
      <w:tblGrid>
        <w:gridCol w:w="1143"/>
        <w:gridCol w:w="713"/>
        <w:gridCol w:w="5863"/>
      </w:tblGrid>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P</w:t>
            </w:r>
            <w:r>
              <w:rPr>
                <w:rFonts w:eastAsia="仿宋_GB2312"/>
                <w:i/>
                <w:color w:val="auto"/>
                <w:sz w:val="24"/>
                <w:szCs w:val="24"/>
                <w:vertAlign w:val="subscript"/>
              </w:rPr>
              <w:t>开</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待估宗地平均楼面地价</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P</w:t>
            </w:r>
            <w:r>
              <w:rPr>
                <w:rFonts w:eastAsia="仿宋_GB2312"/>
                <w:i/>
                <w:color w:val="auto"/>
                <w:sz w:val="24"/>
                <w:szCs w:val="24"/>
                <w:vertAlign w:val="subscript"/>
              </w:rPr>
              <w:t>楼</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待估宗地所在区域的级别基准地价（平均楼面地价）</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vertAlign w:val="subscript"/>
              </w:rPr>
            </w:pPr>
            <w:r>
              <w:rPr>
                <w:rFonts w:eastAsia="仿宋_GB2312"/>
                <w:i/>
                <w:color w:val="auto"/>
                <w:sz w:val="24"/>
                <w:szCs w:val="24"/>
              </w:rPr>
              <w:t>K</w:t>
            </w:r>
            <w:r>
              <w:rPr>
                <w:rFonts w:eastAsia="仿宋_GB2312"/>
                <w:i/>
                <w:color w:val="auto"/>
                <w:sz w:val="24"/>
                <w:szCs w:val="24"/>
                <w:vertAlign w:val="subscript"/>
              </w:rPr>
              <w:t>t</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二级用地类型修正系数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i</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第</w:t>
            </w:r>
            <w:r>
              <w:rPr>
                <w:rFonts w:eastAsia="仿宋_GB2312"/>
                <w:i/>
                <w:color w:val="auto"/>
                <w:sz w:val="24"/>
                <w:szCs w:val="24"/>
              </w:rPr>
              <w:t>i</w:t>
            </w:r>
            <w:r>
              <w:rPr>
                <w:rFonts w:eastAsia="仿宋_GB2312"/>
                <w:color w:val="auto"/>
                <w:sz w:val="24"/>
                <w:szCs w:val="24"/>
              </w:rPr>
              <w:t>个区域因素修正系数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adjustRightInd w:val="0"/>
              <w:snapToGrid w:val="0"/>
              <w:spacing w:line="240" w:lineRule="auto"/>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lf</w:t>
            </w:r>
          </w:p>
        </w:tc>
        <w:tc>
          <w:tcPr>
            <w:tcW w:w="713" w:type="dxa"/>
            <w:vAlign w:val="center"/>
          </w:tcPr>
          <w:p>
            <w:pPr>
              <w:adjustRightInd w:val="0"/>
              <w:snapToGrid w:val="0"/>
              <w:spacing w:line="240" w:lineRule="auto"/>
              <w:jc w:val="center"/>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楼层分配系数，为可选项</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v</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容积率修正系数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y</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bookmarkStart w:id="53" w:name="OLE_LINK2"/>
            <w:r>
              <w:rPr>
                <w:rFonts w:eastAsia="仿宋_GB2312"/>
                <w:color w:val="auto"/>
                <w:sz w:val="24"/>
                <w:szCs w:val="24"/>
              </w:rPr>
              <w:t>剩余使用</w:t>
            </w:r>
            <w:bookmarkEnd w:id="53"/>
            <w:r>
              <w:rPr>
                <w:rFonts w:eastAsia="仿宋_GB2312"/>
                <w:color w:val="auto"/>
                <w:sz w:val="24"/>
                <w:szCs w:val="24"/>
              </w:rPr>
              <w:t>年期修正系数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q</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期日修正系数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K</w:t>
            </w:r>
            <w:r>
              <w:rPr>
                <w:rFonts w:eastAsia="仿宋_GB2312"/>
                <w:i/>
                <w:color w:val="auto"/>
                <w:sz w:val="24"/>
                <w:szCs w:val="24"/>
                <w:vertAlign w:val="subscript"/>
              </w:rPr>
              <w:t>g</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个别因素修正系数</w:t>
            </w:r>
          </w:p>
        </w:tc>
      </w:tr>
      <w:tr>
        <w:tblPrEx>
          <w:tblCellMar>
            <w:top w:w="0" w:type="dxa"/>
            <w:left w:w="108" w:type="dxa"/>
            <w:bottom w:w="0" w:type="dxa"/>
            <w:right w:w="108" w:type="dxa"/>
          </w:tblCellMar>
        </w:tblPrEx>
        <w:trPr>
          <w:trHeight w:val="603" w:hRule="atLeast"/>
          <w:jc w:val="center"/>
        </w:trPr>
        <w:tc>
          <w:tcPr>
            <w:tcW w:w="114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D</w:t>
            </w:r>
          </w:p>
        </w:tc>
        <w:tc>
          <w:tcPr>
            <w:tcW w:w="713" w:type="dxa"/>
            <w:vAlign w:val="center"/>
          </w:tcPr>
          <w:p>
            <w:pPr>
              <w:widowControl/>
              <w:adjustRightInd w:val="0"/>
              <w:snapToGrid w:val="0"/>
              <w:spacing w:line="312" w:lineRule="auto"/>
              <w:jc w:val="left"/>
              <w:rPr>
                <w:rFonts w:eastAsia="仿宋_GB2312"/>
                <w:i/>
                <w:color w:val="auto"/>
                <w:sz w:val="24"/>
                <w:szCs w:val="24"/>
              </w:rPr>
            </w:pPr>
            <w:r>
              <w:rPr>
                <w:rFonts w:eastAsia="仿宋_GB2312"/>
                <w:i/>
                <w:color w:val="auto"/>
                <w:sz w:val="24"/>
                <w:szCs w:val="24"/>
              </w:rPr>
              <w:t>——</w:t>
            </w:r>
          </w:p>
        </w:tc>
        <w:tc>
          <w:tcPr>
            <w:tcW w:w="5863" w:type="dxa"/>
            <w:vAlign w:val="center"/>
          </w:tcPr>
          <w:p>
            <w:pPr>
              <w:widowControl/>
              <w:adjustRightInd w:val="0"/>
              <w:snapToGrid w:val="0"/>
              <w:spacing w:line="312" w:lineRule="auto"/>
              <w:jc w:val="left"/>
              <w:rPr>
                <w:rFonts w:eastAsia="仿宋_GB2312"/>
                <w:color w:val="auto"/>
                <w:sz w:val="24"/>
                <w:szCs w:val="24"/>
              </w:rPr>
            </w:pPr>
            <w:r>
              <w:rPr>
                <w:rFonts w:eastAsia="仿宋_GB2312"/>
                <w:color w:val="auto"/>
                <w:sz w:val="24"/>
                <w:szCs w:val="24"/>
              </w:rPr>
              <w:t>土地开发程度修正值</w:t>
            </w:r>
          </w:p>
        </w:tc>
      </w:tr>
    </w:tbl>
    <w:p>
      <w:pPr>
        <w:rPr>
          <w:rFonts w:eastAsia="仿宋_GB2312"/>
          <w:b/>
          <w:color w:val="auto"/>
          <w:sz w:val="30"/>
          <w:szCs w:val="30"/>
        </w:rPr>
      </w:pPr>
      <w:r>
        <w:rPr>
          <w:rFonts w:eastAsia="仿宋_GB2312"/>
          <w:b/>
          <w:color w:val="auto"/>
          <w:sz w:val="30"/>
          <w:szCs w:val="30"/>
        </w:rPr>
        <w:br w:type="page"/>
      </w:r>
    </w:p>
    <w:p>
      <w:pPr>
        <w:autoSpaceDE w:val="0"/>
        <w:autoSpaceDN w:val="0"/>
        <w:adjustRightInd w:val="0"/>
        <w:snapToGrid w:val="0"/>
        <w:spacing w:before="156" w:beforeLines="50" w:after="156" w:afterLines="50" w:line="240" w:lineRule="auto"/>
        <w:ind w:firstLine="640" w:firstLineChars="200"/>
        <w:outlineLvl w:val="2"/>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修正体系</w:t>
      </w:r>
    </w:p>
    <w:p>
      <w:pPr>
        <w:autoSpaceDE w:val="0"/>
        <w:autoSpaceDN w:val="0"/>
        <w:adjustRightInd w:val="0"/>
        <w:snapToGrid w:val="0"/>
        <w:spacing w:line="360" w:lineRule="auto"/>
        <w:ind w:firstLine="640" w:firstLineChars="200"/>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（1）区域因素修正</w:t>
      </w:r>
    </w:p>
    <w:p>
      <w:pPr>
        <w:adjustRightInd w:val="0"/>
        <w:snapToGrid w:val="0"/>
        <w:spacing w:line="312" w:lineRule="auto"/>
        <w:ind w:firstLine="640" w:firstLineChars="200"/>
        <w:jc w:val="lef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影响住宅用地宗地地价的区域因素较多，经过筛选并征询当地专家的有关意见，选取对宗地地价影响幅度较大的区域因素，包括基本设施状况、交通条件、环境条件、繁华程度、城镇规划、人口状况。其修正系数如下：</w:t>
      </w:r>
    </w:p>
    <w:p>
      <w:pPr>
        <w:adjustRightInd w:val="0"/>
        <w:snapToGrid w:val="0"/>
        <w:spacing w:line="312" w:lineRule="auto"/>
        <w:ind w:firstLine="640" w:firstLineChars="200"/>
        <w:jc w:val="left"/>
        <w:rPr>
          <w:rFonts w:hint="eastAsia" w:ascii="仿宋_GB2312" w:hAnsi="仿宋_GB2312" w:eastAsia="仿宋_GB2312" w:cs="仿宋_GB2312"/>
          <w:b w:val="0"/>
          <w:bCs/>
          <w:color w:val="auto"/>
          <w:sz w:val="32"/>
          <w:szCs w:val="32"/>
        </w:rPr>
      </w:pPr>
    </w:p>
    <w:p>
      <w:pPr>
        <w:adjustRightInd w:val="0"/>
        <w:snapToGrid w:val="0"/>
        <w:spacing w:line="312" w:lineRule="auto"/>
        <w:ind w:firstLine="481" w:firstLineChars="200"/>
        <w:jc w:val="center"/>
        <w:rPr>
          <w:rFonts w:eastAsia="仿宋_GB2312"/>
          <w:b/>
          <w:bCs/>
          <w:color w:val="auto"/>
          <w:sz w:val="24"/>
        </w:rPr>
      </w:pPr>
      <w:r>
        <w:rPr>
          <w:rFonts w:hint="eastAsia" w:eastAsia="仿宋_GB2312"/>
          <w:b/>
          <w:bCs/>
          <w:color w:val="auto"/>
          <w:sz w:val="24"/>
        </w:rPr>
        <w:t xml:space="preserve">表4-3-1  </w:t>
      </w:r>
      <w:r>
        <w:rPr>
          <w:rFonts w:eastAsia="仿宋_GB2312"/>
          <w:b/>
          <w:bCs/>
          <w:color w:val="auto"/>
          <w:sz w:val="24"/>
        </w:rPr>
        <w:t>一级</w:t>
      </w:r>
      <w:r>
        <w:rPr>
          <w:rFonts w:hint="eastAsia" w:eastAsia="仿宋_GB2312"/>
          <w:b/>
          <w:bCs/>
          <w:color w:val="auto"/>
          <w:sz w:val="24"/>
        </w:rPr>
        <w:t>住宅</w:t>
      </w:r>
      <w:r>
        <w:rPr>
          <w:rFonts w:eastAsia="仿宋_GB2312"/>
          <w:b/>
          <w:bCs/>
          <w:color w:val="auto"/>
          <w:sz w:val="24"/>
        </w:rPr>
        <w:t>用地区域因素修正系数表</w:t>
      </w:r>
    </w:p>
    <w:tbl>
      <w:tblPr>
        <w:tblStyle w:val="88"/>
        <w:tblW w:w="8816" w:type="dxa"/>
        <w:jc w:val="center"/>
        <w:tblLayout w:type="fixed"/>
        <w:tblCellMar>
          <w:top w:w="0" w:type="dxa"/>
          <w:left w:w="108" w:type="dxa"/>
          <w:bottom w:w="0" w:type="dxa"/>
          <w:right w:w="108" w:type="dxa"/>
        </w:tblCellMar>
      </w:tblPr>
      <w:tblGrid>
        <w:gridCol w:w="1256"/>
        <w:gridCol w:w="1512"/>
        <w:gridCol w:w="1512"/>
        <w:gridCol w:w="1512"/>
        <w:gridCol w:w="1512"/>
        <w:gridCol w:w="1512"/>
      </w:tblGrid>
      <w:tr>
        <w:tblPrEx>
          <w:tblCellMar>
            <w:top w:w="0" w:type="dxa"/>
            <w:left w:w="108" w:type="dxa"/>
            <w:bottom w:w="0" w:type="dxa"/>
            <w:right w:w="108" w:type="dxa"/>
          </w:tblCellMar>
        </w:tblPrEx>
        <w:trPr>
          <w:trHeight w:val="467" w:hRule="atLeast"/>
          <w:tblHeader/>
          <w:jc w:val="center"/>
        </w:trPr>
        <w:tc>
          <w:tcPr>
            <w:tcW w:w="1256"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467" w:hRule="atLeast"/>
          <w:tblHeader/>
          <w:jc w:val="center"/>
        </w:trPr>
        <w:tc>
          <w:tcPr>
            <w:tcW w:w="125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827" w:hRule="atLeast"/>
          <w:jc w:val="center"/>
        </w:trPr>
        <w:tc>
          <w:tcPr>
            <w:tcW w:w="125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467"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0.0600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0.0300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-0.0272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-0.0544 </w:t>
            </w:r>
          </w:p>
        </w:tc>
      </w:tr>
      <w:tr>
        <w:tblPrEx>
          <w:tblCellMar>
            <w:top w:w="0" w:type="dxa"/>
            <w:left w:w="108" w:type="dxa"/>
            <w:bottom w:w="0" w:type="dxa"/>
            <w:right w:w="108" w:type="dxa"/>
          </w:tblCellMar>
        </w:tblPrEx>
        <w:trPr>
          <w:trHeight w:val="2522"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467"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0.0522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0.0261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-0.0237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-0.0474 </w:t>
            </w:r>
          </w:p>
        </w:tc>
      </w:tr>
      <w:tr>
        <w:tblPrEx>
          <w:tblCellMar>
            <w:top w:w="0" w:type="dxa"/>
            <w:left w:w="108" w:type="dxa"/>
            <w:bottom w:w="0" w:type="dxa"/>
            <w:right w:w="108" w:type="dxa"/>
          </w:tblCellMar>
        </w:tblPrEx>
        <w:trPr>
          <w:cantSplit/>
          <w:trHeight w:val="2112"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67"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0.0414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0.0207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-0.0188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-0.0376 </w:t>
            </w:r>
          </w:p>
        </w:tc>
      </w:tr>
      <w:tr>
        <w:tblPrEx>
          <w:tblCellMar>
            <w:top w:w="0" w:type="dxa"/>
            <w:left w:w="108" w:type="dxa"/>
            <w:bottom w:w="0" w:type="dxa"/>
            <w:right w:w="108" w:type="dxa"/>
          </w:tblCellMar>
        </w:tblPrEx>
        <w:trPr>
          <w:cantSplit/>
          <w:trHeight w:val="2112"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距商服中心近、在大型商场范围内，人流畅旺</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467"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0.0352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-0.0320 </w:t>
            </w:r>
          </w:p>
        </w:tc>
      </w:tr>
      <w:tr>
        <w:tblPrEx>
          <w:tblCellMar>
            <w:top w:w="0" w:type="dxa"/>
            <w:left w:w="108" w:type="dxa"/>
            <w:bottom w:w="0" w:type="dxa"/>
            <w:right w:w="108" w:type="dxa"/>
          </w:tblCellMar>
        </w:tblPrEx>
        <w:trPr>
          <w:trHeight w:val="844"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67"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0.0075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-0.0068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r>
      <w:tr>
        <w:tblPrEx>
          <w:tblCellMar>
            <w:top w:w="0" w:type="dxa"/>
            <w:left w:w="108" w:type="dxa"/>
            <w:bottom w:w="0" w:type="dxa"/>
            <w:right w:w="108" w:type="dxa"/>
          </w:tblCellMar>
        </w:tblPrEx>
        <w:trPr>
          <w:trHeight w:val="2112" w:hRule="atLeast"/>
          <w:jc w:val="center"/>
        </w:trPr>
        <w:tc>
          <w:tcPr>
            <w:tcW w:w="1256"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12" w:type="dxa"/>
            <w:tcBorders>
              <w:top w:val="nil"/>
              <w:left w:val="nil"/>
              <w:bottom w:val="single" w:color="auto" w:sz="4" w:space="0"/>
              <w:right w:val="single" w:color="auto" w:sz="4" w:space="0"/>
            </w:tcBorders>
            <w:vAlign w:val="center"/>
          </w:tcPr>
          <w:p>
            <w:pPr>
              <w:keepNext/>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12" w:type="dxa"/>
            <w:tcBorders>
              <w:top w:val="nil"/>
              <w:left w:val="nil"/>
              <w:bottom w:val="single" w:color="auto" w:sz="4" w:space="0"/>
              <w:right w:val="single" w:color="auto" w:sz="4" w:space="0"/>
            </w:tcBorders>
            <w:vAlign w:val="center"/>
          </w:tcPr>
          <w:p>
            <w:pPr>
              <w:keepNext/>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12" w:type="dxa"/>
            <w:tcBorders>
              <w:top w:val="nil"/>
              <w:left w:val="nil"/>
              <w:bottom w:val="single" w:color="auto" w:sz="4" w:space="0"/>
              <w:right w:val="single" w:color="auto" w:sz="4" w:space="0"/>
            </w:tcBorders>
            <w:vAlign w:val="center"/>
          </w:tcPr>
          <w:p>
            <w:pPr>
              <w:keepNext/>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12" w:type="dxa"/>
            <w:tcBorders>
              <w:top w:val="nil"/>
              <w:left w:val="nil"/>
              <w:bottom w:val="single" w:color="auto" w:sz="4" w:space="0"/>
              <w:right w:val="single" w:color="auto" w:sz="4" w:space="0"/>
            </w:tcBorders>
            <w:vAlign w:val="center"/>
          </w:tcPr>
          <w:p>
            <w:pPr>
              <w:keepNext/>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12" w:type="dxa"/>
            <w:tcBorders>
              <w:top w:val="nil"/>
              <w:left w:val="nil"/>
              <w:bottom w:val="single" w:color="auto" w:sz="4" w:space="0"/>
              <w:right w:val="single" w:color="auto" w:sz="4" w:space="0"/>
            </w:tcBorders>
            <w:vAlign w:val="center"/>
          </w:tcPr>
          <w:p>
            <w:pPr>
              <w:keepNext/>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526" w:hRule="atLeast"/>
          <w:jc w:val="center"/>
        </w:trPr>
        <w:tc>
          <w:tcPr>
            <w:tcW w:w="125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512" w:type="dxa"/>
            <w:tcBorders>
              <w:top w:val="nil"/>
              <w:left w:val="nil"/>
              <w:bottom w:val="single" w:color="auto" w:sz="4" w:space="0"/>
              <w:right w:val="single" w:color="auto" w:sz="4" w:space="0"/>
            </w:tcBorders>
            <w:vAlign w:val="center"/>
          </w:tcPr>
          <w:p>
            <w:pPr>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r>
    </w:tbl>
    <w:p>
      <w:pPr>
        <w:rPr>
          <w:rFonts w:hint="eastAsia" w:eastAsia="仿宋_GB2312"/>
          <w:b/>
          <w:bCs/>
          <w:color w:val="auto"/>
          <w:sz w:val="24"/>
        </w:rPr>
      </w:pPr>
    </w:p>
    <w:p>
      <w:pPr>
        <w:rPr>
          <w:rFonts w:hint="eastAsia" w:eastAsia="仿宋_GB2312"/>
          <w:b/>
          <w:bCs/>
          <w:color w:val="auto"/>
          <w:sz w:val="24"/>
        </w:rPr>
      </w:pPr>
    </w:p>
    <w:p>
      <w:pPr>
        <w:rPr>
          <w:rFonts w:hint="eastAsia" w:eastAsia="仿宋_GB2312"/>
          <w:b/>
          <w:bCs/>
          <w:color w:val="auto"/>
          <w:sz w:val="24"/>
        </w:rPr>
      </w:pPr>
    </w:p>
    <w:p>
      <w:pPr>
        <w:rPr>
          <w:rFonts w:hint="eastAsia" w:eastAsia="仿宋_GB2312"/>
          <w:b/>
          <w:bCs/>
          <w:color w:val="auto"/>
          <w:sz w:val="24"/>
        </w:rPr>
      </w:pPr>
    </w:p>
    <w:p>
      <w:pPr>
        <w:rPr>
          <w:rFonts w:hint="eastAsia" w:eastAsia="仿宋_GB2312"/>
          <w:b/>
          <w:bCs/>
          <w:color w:val="auto"/>
          <w:sz w:val="24"/>
        </w:rPr>
      </w:pPr>
    </w:p>
    <w:p>
      <w:pPr>
        <w:jc w:val="center"/>
        <w:rPr>
          <w:rFonts w:eastAsia="仿宋_GB2312"/>
          <w:b/>
          <w:bCs/>
          <w:color w:val="auto"/>
          <w:sz w:val="24"/>
        </w:rPr>
      </w:pPr>
      <w:r>
        <w:rPr>
          <w:rFonts w:hint="eastAsia" w:eastAsia="仿宋_GB2312"/>
          <w:b/>
          <w:bCs/>
          <w:color w:val="auto"/>
          <w:sz w:val="24"/>
        </w:rPr>
        <w:t>4-3-2  二</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8960" w:type="dxa"/>
        <w:jc w:val="center"/>
        <w:tblLayout w:type="fixed"/>
        <w:tblCellMar>
          <w:top w:w="0" w:type="dxa"/>
          <w:left w:w="108" w:type="dxa"/>
          <w:bottom w:w="0" w:type="dxa"/>
          <w:right w:w="108" w:type="dxa"/>
        </w:tblCellMar>
      </w:tblPr>
      <w:tblGrid>
        <w:gridCol w:w="1280"/>
        <w:gridCol w:w="1536"/>
        <w:gridCol w:w="1536"/>
        <w:gridCol w:w="1536"/>
        <w:gridCol w:w="1536"/>
        <w:gridCol w:w="1536"/>
      </w:tblGrid>
      <w:tr>
        <w:tblPrEx>
          <w:tblCellMar>
            <w:top w:w="0" w:type="dxa"/>
            <w:left w:w="108" w:type="dxa"/>
            <w:bottom w:w="0" w:type="dxa"/>
            <w:right w:w="108" w:type="dxa"/>
          </w:tblCellMar>
        </w:tblPrEx>
        <w:trPr>
          <w:trHeight w:val="324" w:hRule="atLeast"/>
          <w:tblHeader/>
          <w:jc w:val="center"/>
        </w:trPr>
        <w:tc>
          <w:tcPr>
            <w:tcW w:w="1280"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24" w:hRule="atLeast"/>
          <w:tblHeader/>
          <w:jc w:val="center"/>
        </w:trPr>
        <w:tc>
          <w:tcPr>
            <w:tcW w:w="128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213" w:hRule="atLeast"/>
          <w:jc w:val="center"/>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6"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36"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36"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36"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36"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2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0.0540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-0.0235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-0.0470 </w:t>
            </w:r>
          </w:p>
        </w:tc>
      </w:tr>
      <w:tr>
        <w:tblPrEx>
          <w:tblCellMar>
            <w:top w:w="0" w:type="dxa"/>
            <w:left w:w="108" w:type="dxa"/>
            <w:bottom w:w="0" w:type="dxa"/>
            <w:right w:w="108" w:type="dxa"/>
          </w:tblCellMar>
        </w:tblPrEx>
        <w:trPr>
          <w:trHeight w:val="1898"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6" w:type="dxa"/>
            <w:tcBorders>
              <w:top w:val="nil"/>
              <w:left w:val="nil"/>
              <w:bottom w:val="single" w:color="auto" w:sz="4" w:space="0"/>
              <w:right w:val="single" w:color="auto" w:sz="4" w:space="0"/>
            </w:tcBorders>
            <w:vAlign w:val="center"/>
          </w:tcPr>
          <w:p>
            <w:pPr>
              <w:keepNext/>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36" w:type="dxa"/>
            <w:tcBorders>
              <w:top w:val="nil"/>
              <w:left w:val="nil"/>
              <w:bottom w:val="single" w:color="auto" w:sz="4" w:space="0"/>
              <w:right w:val="single" w:color="auto" w:sz="4" w:space="0"/>
            </w:tcBorders>
            <w:vAlign w:val="center"/>
          </w:tcPr>
          <w:p>
            <w:pPr>
              <w:keepNext/>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36" w:type="dxa"/>
            <w:tcBorders>
              <w:top w:val="nil"/>
              <w:left w:val="nil"/>
              <w:bottom w:val="single" w:color="auto" w:sz="4" w:space="0"/>
              <w:right w:val="single" w:color="auto" w:sz="4" w:space="0"/>
            </w:tcBorders>
            <w:vAlign w:val="center"/>
          </w:tcPr>
          <w:p>
            <w:pPr>
              <w:keepNext/>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36" w:type="dxa"/>
            <w:tcBorders>
              <w:top w:val="nil"/>
              <w:left w:val="nil"/>
              <w:bottom w:val="single" w:color="auto" w:sz="4" w:space="0"/>
              <w:right w:val="single" w:color="auto" w:sz="4" w:space="0"/>
            </w:tcBorders>
            <w:vAlign w:val="center"/>
          </w:tcPr>
          <w:p>
            <w:pPr>
              <w:keepNext/>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36" w:type="dxa"/>
            <w:tcBorders>
              <w:top w:val="nil"/>
              <w:left w:val="nil"/>
              <w:bottom w:val="single" w:color="auto" w:sz="4" w:space="0"/>
              <w:right w:val="single" w:color="auto" w:sz="4" w:space="0"/>
            </w:tcBorders>
            <w:vAlign w:val="center"/>
          </w:tcPr>
          <w:p>
            <w:pPr>
              <w:keepNext/>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2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0.0235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-0.0205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-0.0410 </w:t>
            </w:r>
          </w:p>
        </w:tc>
      </w:tr>
      <w:tr>
        <w:tblPrEx>
          <w:tblCellMar>
            <w:top w:w="0" w:type="dxa"/>
            <w:left w:w="108" w:type="dxa"/>
            <w:bottom w:w="0" w:type="dxa"/>
            <w:right w:w="108" w:type="dxa"/>
          </w:tblCellMar>
        </w:tblPrEx>
        <w:trPr>
          <w:trHeight w:val="158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2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0.0374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0.0187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-0.0163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-0.0326 </w:t>
            </w:r>
          </w:p>
        </w:tc>
      </w:tr>
      <w:tr>
        <w:tblPrEx>
          <w:tblCellMar>
            <w:top w:w="0" w:type="dxa"/>
            <w:left w:w="108" w:type="dxa"/>
            <w:bottom w:w="0" w:type="dxa"/>
            <w:right w:w="108" w:type="dxa"/>
          </w:tblCellMar>
        </w:tblPrEx>
        <w:trPr>
          <w:trHeight w:val="158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距商服中心近、在大型商场范围内，人流畅旺</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24" w:hRule="atLeast"/>
          <w:jc w:val="center"/>
        </w:trPr>
        <w:tc>
          <w:tcPr>
            <w:tcW w:w="1280" w:type="dxa"/>
            <w:tcBorders>
              <w:top w:val="nil"/>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0.0316 </w:t>
            </w:r>
          </w:p>
        </w:tc>
        <w:tc>
          <w:tcPr>
            <w:tcW w:w="1536"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c>
          <w:tcPr>
            <w:tcW w:w="1536"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-0.0138 </w:t>
            </w:r>
          </w:p>
        </w:tc>
        <w:tc>
          <w:tcPr>
            <w:tcW w:w="1536"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-0.0276 </w:t>
            </w:r>
          </w:p>
        </w:tc>
      </w:tr>
      <w:tr>
        <w:tblPrEx>
          <w:tblCellMar>
            <w:top w:w="0" w:type="dxa"/>
            <w:left w:w="108" w:type="dxa"/>
            <w:bottom w:w="0" w:type="dxa"/>
            <w:right w:w="108" w:type="dxa"/>
          </w:tblCellMar>
        </w:tblPrEx>
        <w:trPr>
          <w:cantSplit/>
          <w:trHeight w:val="324" w:hRule="atLeast"/>
          <w:jc w:val="center"/>
        </w:trPr>
        <w:tc>
          <w:tcPr>
            <w:tcW w:w="1280"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2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0.0067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-0.0059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r>
      <w:tr>
        <w:tblPrEx>
          <w:tblCellMar>
            <w:top w:w="0" w:type="dxa"/>
            <w:left w:w="108" w:type="dxa"/>
            <w:bottom w:w="0" w:type="dxa"/>
            <w:right w:w="108" w:type="dxa"/>
          </w:tblCellMar>
        </w:tblPrEx>
        <w:trPr>
          <w:cantSplit/>
          <w:trHeight w:val="158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3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-0.0062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-0.0124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表4-3-3  三</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9117" w:type="dxa"/>
        <w:jc w:val="center"/>
        <w:tblLayout w:type="autofit"/>
        <w:tblCellMar>
          <w:top w:w="0" w:type="dxa"/>
          <w:left w:w="108" w:type="dxa"/>
          <w:bottom w:w="0" w:type="dxa"/>
          <w:right w:w="108" w:type="dxa"/>
        </w:tblCellMar>
      </w:tblPr>
      <w:tblGrid>
        <w:gridCol w:w="1302"/>
        <w:gridCol w:w="1563"/>
        <w:gridCol w:w="1563"/>
        <w:gridCol w:w="1563"/>
        <w:gridCol w:w="1563"/>
        <w:gridCol w:w="1563"/>
      </w:tblGrid>
      <w:tr>
        <w:tblPrEx>
          <w:tblCellMar>
            <w:top w:w="0" w:type="dxa"/>
            <w:left w:w="108" w:type="dxa"/>
            <w:bottom w:w="0" w:type="dxa"/>
            <w:right w:w="108" w:type="dxa"/>
          </w:tblCellMar>
        </w:tblPrEx>
        <w:trPr>
          <w:trHeight w:val="341" w:hRule="atLeast"/>
          <w:tblHeader/>
          <w:jc w:val="center"/>
        </w:trPr>
        <w:tc>
          <w:tcPr>
            <w:tcW w:w="1302"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keepNext/>
              <w:keepLines/>
              <w:widowControl/>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keepNext/>
              <w:keepLines/>
              <w:widowControl/>
              <w:adjustRightInd w:val="0"/>
              <w:snapToGrid w:val="0"/>
              <w:spacing w:line="240" w:lineRule="auto"/>
              <w:jc w:val="left"/>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63" w:type="dxa"/>
            <w:vMerge w:val="restart"/>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63" w:type="dxa"/>
            <w:vMerge w:val="restart"/>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63" w:type="dxa"/>
            <w:vMerge w:val="restart"/>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63" w:type="dxa"/>
            <w:vMerge w:val="restart"/>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63" w:type="dxa"/>
            <w:vMerge w:val="restart"/>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41" w:hRule="atLeast"/>
          <w:tblHeader/>
          <w:jc w:val="center"/>
        </w:trPr>
        <w:tc>
          <w:tcPr>
            <w:tcW w:w="1302"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196" w:hRule="atLeast"/>
          <w:jc w:val="center"/>
        </w:trPr>
        <w:tc>
          <w:tcPr>
            <w:tcW w:w="1302" w:type="dxa"/>
            <w:tcBorders>
              <w:top w:val="single" w:color="auto" w:sz="4" w:space="0"/>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0.0472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0.0236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-0.0214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-0.0428 </w:t>
            </w:r>
          </w:p>
        </w:tc>
      </w:tr>
      <w:tr>
        <w:tblPrEx>
          <w:tblCellMar>
            <w:top w:w="0" w:type="dxa"/>
            <w:left w:w="108" w:type="dxa"/>
            <w:bottom w:w="0" w:type="dxa"/>
            <w:right w:w="108" w:type="dxa"/>
          </w:tblCellMar>
        </w:tblPrEx>
        <w:trPr>
          <w:trHeight w:val="1884"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0.0412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0.0206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-0.0372 </w:t>
            </w:r>
          </w:p>
        </w:tc>
      </w:tr>
      <w:tr>
        <w:tblPrEx>
          <w:tblCellMar>
            <w:top w:w="0" w:type="dxa"/>
            <w:left w:w="108" w:type="dxa"/>
            <w:bottom w:w="0" w:type="dxa"/>
            <w:right w:w="108" w:type="dxa"/>
          </w:tblCellMar>
        </w:tblPrEx>
        <w:trPr>
          <w:trHeight w:val="1629"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0.0326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0.0163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-0.0148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-0.0296 </w:t>
            </w:r>
          </w:p>
        </w:tc>
      </w:tr>
      <w:tr>
        <w:tblPrEx>
          <w:tblCellMar>
            <w:top w:w="0" w:type="dxa"/>
            <w:left w:w="108" w:type="dxa"/>
            <w:bottom w:w="0" w:type="dxa"/>
            <w:right w:w="108" w:type="dxa"/>
          </w:tblCellMar>
        </w:tblPrEx>
        <w:trPr>
          <w:cantSplit/>
          <w:trHeight w:val="157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距商服中心近、在大型商场范围内，人流畅旺</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noWrap/>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noWrap/>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0.0276 </w:t>
            </w:r>
          </w:p>
        </w:tc>
        <w:tc>
          <w:tcPr>
            <w:tcW w:w="1563" w:type="dxa"/>
            <w:tcBorders>
              <w:top w:val="nil"/>
              <w:left w:val="nil"/>
              <w:bottom w:val="single" w:color="auto" w:sz="4" w:space="0"/>
              <w:right w:val="single" w:color="auto" w:sz="4" w:space="0"/>
            </w:tcBorders>
            <w:noWrap/>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0.0138 </w:t>
            </w:r>
          </w:p>
        </w:tc>
        <w:tc>
          <w:tcPr>
            <w:tcW w:w="1563" w:type="dxa"/>
            <w:tcBorders>
              <w:top w:val="nil"/>
              <w:left w:val="nil"/>
              <w:bottom w:val="single" w:color="auto" w:sz="4" w:space="0"/>
              <w:right w:val="single" w:color="auto" w:sz="4" w:space="0"/>
            </w:tcBorders>
            <w:noWrap/>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noWrap/>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-0.0125 </w:t>
            </w:r>
          </w:p>
        </w:tc>
        <w:tc>
          <w:tcPr>
            <w:tcW w:w="1563" w:type="dxa"/>
            <w:tcBorders>
              <w:top w:val="nil"/>
              <w:left w:val="nil"/>
              <w:bottom w:val="single" w:color="auto" w:sz="4" w:space="0"/>
              <w:right w:val="single" w:color="auto" w:sz="4" w:space="0"/>
            </w:tcBorders>
            <w:noWrap/>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-0.0250 </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4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0.0059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-0.0053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r>
      <w:tr>
        <w:tblPrEx>
          <w:tblCellMar>
            <w:top w:w="0" w:type="dxa"/>
            <w:left w:w="108" w:type="dxa"/>
            <w:bottom w:w="0" w:type="dxa"/>
            <w:right w:w="108" w:type="dxa"/>
          </w:tblCellMar>
        </w:tblPrEx>
        <w:trPr>
          <w:cantSplit/>
          <w:trHeight w:val="1571"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62" w:hRule="atLeast"/>
          <w:jc w:val="center"/>
        </w:trPr>
        <w:tc>
          <w:tcPr>
            <w:tcW w:w="1302"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0.0126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0.0063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-0.0057 </w:t>
            </w:r>
          </w:p>
        </w:tc>
        <w:tc>
          <w:tcPr>
            <w:tcW w:w="1563"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-0.0114 </w:t>
            </w:r>
          </w:p>
        </w:tc>
      </w:tr>
    </w:tbl>
    <w:p>
      <w:pPr>
        <w:rPr>
          <w:rFonts w:eastAsia="仿宋_GB2312"/>
          <w:b/>
          <w:bCs/>
          <w:color w:val="auto"/>
          <w:sz w:val="24"/>
        </w:rPr>
      </w:pPr>
      <w:r>
        <w:rPr>
          <w:rFonts w:hint="eastAsia" w:eastAsia="仿宋_GB2312"/>
          <w:b/>
          <w:bCs/>
          <w:color w:val="auto"/>
          <w:sz w:val="24"/>
        </w:rPr>
        <w:br w:type="page"/>
      </w:r>
    </w:p>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表4-3-4  四</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9036" w:type="dxa"/>
        <w:jc w:val="center"/>
        <w:tblLayout w:type="fixed"/>
        <w:tblCellMar>
          <w:top w:w="0" w:type="dxa"/>
          <w:left w:w="108" w:type="dxa"/>
          <w:bottom w:w="0" w:type="dxa"/>
          <w:right w:w="108" w:type="dxa"/>
        </w:tblCellMar>
      </w:tblPr>
      <w:tblGrid>
        <w:gridCol w:w="1291"/>
        <w:gridCol w:w="1549"/>
        <w:gridCol w:w="1549"/>
        <w:gridCol w:w="1549"/>
        <w:gridCol w:w="1549"/>
        <w:gridCol w:w="1549"/>
      </w:tblGrid>
      <w:tr>
        <w:tblPrEx>
          <w:tblCellMar>
            <w:top w:w="0" w:type="dxa"/>
            <w:left w:w="108" w:type="dxa"/>
            <w:bottom w:w="0" w:type="dxa"/>
            <w:right w:w="108" w:type="dxa"/>
          </w:tblCellMar>
        </w:tblPrEx>
        <w:trPr>
          <w:trHeight w:val="342" w:hRule="atLeast"/>
          <w:tblHeader/>
          <w:jc w:val="center"/>
        </w:trPr>
        <w:tc>
          <w:tcPr>
            <w:tcW w:w="1291"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left"/>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42" w:hRule="atLeast"/>
          <w:tblHeader/>
          <w:jc w:val="center"/>
        </w:trPr>
        <w:tc>
          <w:tcPr>
            <w:tcW w:w="1291"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181" w:hRule="atLeast"/>
          <w:jc w:val="center"/>
        </w:trPr>
        <w:tc>
          <w:tcPr>
            <w:tcW w:w="129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0.0410 </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0.0205 </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c>
          <w:tcPr>
            <w:tcW w:w="154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-0.0360 </w:t>
            </w:r>
          </w:p>
        </w:tc>
      </w:tr>
      <w:tr>
        <w:tblPrEx>
          <w:tblCellMar>
            <w:top w:w="0" w:type="dxa"/>
            <w:left w:w="108" w:type="dxa"/>
            <w:bottom w:w="0" w:type="dxa"/>
            <w:right w:w="108" w:type="dxa"/>
          </w:tblCellMar>
        </w:tblPrEx>
        <w:trPr>
          <w:trHeight w:val="1871"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道路通达度高，距长途汽车站近，公交便捷度高，交通方便</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道路通达度较高，距长途汽车站较近，公交便捷度较高，交通较方便</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道路通达度一般，距长途汽车站距离一般，公交便捷度一般，交通一般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道路通达度较低，距长途汽车站较远，公交便捷度较差，交通较差</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道路通达度低，距长途汽车站远，公交便捷度差，交通不方便</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0.0358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0.0179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-0.0157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-0.0314 </w:t>
            </w:r>
          </w:p>
        </w:tc>
      </w:tr>
      <w:tr>
        <w:tblPrEx>
          <w:tblCellMar>
            <w:top w:w="0" w:type="dxa"/>
            <w:left w:w="108" w:type="dxa"/>
            <w:bottom w:w="0" w:type="dxa"/>
            <w:right w:w="108" w:type="dxa"/>
          </w:tblCellMar>
        </w:tblPrEx>
        <w:trPr>
          <w:trHeight w:val="1628"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0.0284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0.0142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-0.0125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-0.0250 </w:t>
            </w:r>
          </w:p>
        </w:tc>
      </w:tr>
      <w:tr>
        <w:tblPrEx>
          <w:tblCellMar>
            <w:top w:w="0" w:type="dxa"/>
            <w:left w:w="108" w:type="dxa"/>
            <w:bottom w:w="0" w:type="dxa"/>
            <w:right w:w="108" w:type="dxa"/>
          </w:tblCellMar>
        </w:tblPrEx>
        <w:trPr>
          <w:trHeight w:val="1561"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距商服中心近、大型商场范围内，人流畅旺</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0.0241 </w:t>
            </w:r>
          </w:p>
        </w:tc>
        <w:tc>
          <w:tcPr>
            <w:tcW w:w="154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c>
          <w:tcPr>
            <w:tcW w:w="154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c>
          <w:tcPr>
            <w:tcW w:w="154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-0.0212 </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4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0.0102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0.0051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-0.0045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r>
      <w:tr>
        <w:tblPrEx>
          <w:tblCellMar>
            <w:top w:w="0" w:type="dxa"/>
            <w:left w:w="108" w:type="dxa"/>
            <w:bottom w:w="0" w:type="dxa"/>
            <w:right w:w="108" w:type="dxa"/>
          </w:tblCellMar>
        </w:tblPrEx>
        <w:trPr>
          <w:trHeight w:val="1561"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区域内规划完善，且为重点商住规划区，近期规划前景好</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区域规划较适合商住规划布局，近期规划前景较好</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区域规划不适宜商住规划布局，规划前景差</w:t>
            </w:r>
          </w:p>
        </w:tc>
      </w:tr>
      <w:tr>
        <w:tblPrEx>
          <w:tblCellMar>
            <w:top w:w="0" w:type="dxa"/>
            <w:left w:w="108" w:type="dxa"/>
            <w:bottom w:w="0" w:type="dxa"/>
            <w:right w:w="108" w:type="dxa"/>
          </w:tblCellMar>
        </w:tblPrEx>
        <w:trPr>
          <w:trHeight w:val="362"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-0.0048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-0.0096 </w:t>
            </w:r>
          </w:p>
        </w:tc>
      </w:tr>
    </w:tbl>
    <w:p>
      <w:pPr>
        <w:widowControl/>
        <w:spacing w:line="240" w:lineRule="auto"/>
        <w:jc w:val="left"/>
        <w:rPr>
          <w:rFonts w:eastAsia="仿宋_GB2312"/>
          <w:b/>
          <w:bCs/>
          <w:color w:val="auto"/>
          <w:sz w:val="24"/>
        </w:rPr>
      </w:pPr>
      <w:r>
        <w:rPr>
          <w:rFonts w:eastAsia="仿宋_GB2312"/>
          <w:b/>
          <w:bCs/>
          <w:color w:val="auto"/>
          <w:sz w:val="24"/>
        </w:rPr>
        <w:br w:type="page"/>
      </w:r>
    </w:p>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表4-3-5  五</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9198" w:type="dxa"/>
        <w:jc w:val="center"/>
        <w:tblLayout w:type="autofit"/>
        <w:tblCellMar>
          <w:top w:w="0" w:type="dxa"/>
          <w:left w:w="108" w:type="dxa"/>
          <w:bottom w:w="0" w:type="dxa"/>
          <w:right w:w="108" w:type="dxa"/>
        </w:tblCellMar>
      </w:tblPr>
      <w:tblGrid>
        <w:gridCol w:w="1313"/>
        <w:gridCol w:w="1577"/>
        <w:gridCol w:w="1577"/>
        <w:gridCol w:w="1577"/>
        <w:gridCol w:w="1577"/>
        <w:gridCol w:w="1577"/>
      </w:tblGrid>
      <w:tr>
        <w:tblPrEx>
          <w:tblCellMar>
            <w:top w:w="0" w:type="dxa"/>
            <w:left w:w="108" w:type="dxa"/>
            <w:bottom w:w="0" w:type="dxa"/>
            <w:right w:w="108" w:type="dxa"/>
          </w:tblCellMar>
        </w:tblPrEx>
        <w:trPr>
          <w:trHeight w:val="357" w:hRule="atLeast"/>
          <w:tblHeader/>
          <w:jc w:val="center"/>
        </w:trPr>
        <w:tc>
          <w:tcPr>
            <w:tcW w:w="1313"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7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7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7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7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7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57" w:hRule="atLeast"/>
          <w:tblHeader/>
          <w:jc w:val="center"/>
        </w:trPr>
        <w:tc>
          <w:tcPr>
            <w:tcW w:w="1313"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77"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041" w:hRule="atLeast"/>
          <w:jc w:val="center"/>
        </w:trPr>
        <w:tc>
          <w:tcPr>
            <w:tcW w:w="13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市政供水、供电保证率高，排水状况好，周围学校、银行、医院等生活设施配套完备</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市政供水、供电保证率较高，排水状况较好，周围学校、银行、医院等生活设施配套较完备</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市政供水、供电保证率一般，排水状况一般，周围学校、银行、医院等生活设施配套一般</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市政供水、供电保证率较低，排水状况较差，离学校、银行、医院等生活设施有一定的距离</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市政供水、供电保证率低，排水状况差，离学校、银行、医院较远，生活设施配套不完备</w:t>
            </w:r>
          </w:p>
        </w:tc>
      </w:tr>
      <w:tr>
        <w:tblPrEx>
          <w:tblCellMar>
            <w:top w:w="0" w:type="dxa"/>
            <w:left w:w="108" w:type="dxa"/>
            <w:bottom w:w="0" w:type="dxa"/>
            <w:right w:w="108" w:type="dxa"/>
          </w:tblCellMar>
        </w:tblPrEx>
        <w:trPr>
          <w:trHeight w:val="35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0.0362 </w:t>
            </w:r>
          </w:p>
        </w:tc>
        <w:tc>
          <w:tcPr>
            <w:tcW w:w="1577"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0.0181 </w:t>
            </w:r>
          </w:p>
        </w:tc>
        <w:tc>
          <w:tcPr>
            <w:tcW w:w="1577"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-0.0156 </w:t>
            </w:r>
          </w:p>
        </w:tc>
        <w:tc>
          <w:tcPr>
            <w:tcW w:w="1577"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-0.0312 </w:t>
            </w:r>
          </w:p>
        </w:tc>
      </w:tr>
      <w:tr>
        <w:tblPrEx>
          <w:tblCellMar>
            <w:top w:w="0" w:type="dxa"/>
            <w:left w:w="108" w:type="dxa"/>
            <w:bottom w:w="0" w:type="dxa"/>
            <w:right w:w="108" w:type="dxa"/>
          </w:tblCellMar>
        </w:tblPrEx>
        <w:trPr>
          <w:trHeight w:val="1750"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道路通达度高，距长途汽车站近，公交便捷度高，交通方便</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道路通达度较高，距长途汽车站较近，公交便捷度较高，交通较方便</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道路通达度一般，距长途汽车站距离一般，公交便捷度一般，交通一般</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道路通达度较低，距长途汽车站较远，公交便捷度较差，交通较差</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道路通达度低，距长途汽车站远，公交便捷度差，交通不方便</w:t>
            </w:r>
          </w:p>
        </w:tc>
      </w:tr>
      <w:tr>
        <w:tblPrEx>
          <w:tblCellMar>
            <w:top w:w="0" w:type="dxa"/>
            <w:left w:w="108" w:type="dxa"/>
            <w:bottom w:w="0" w:type="dxa"/>
            <w:right w:w="108" w:type="dxa"/>
          </w:tblCellMar>
        </w:tblPrEx>
        <w:trPr>
          <w:trHeight w:val="35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-0.0272 </w:t>
            </w:r>
          </w:p>
        </w:tc>
      </w:tr>
      <w:tr>
        <w:tblPrEx>
          <w:tblCellMar>
            <w:top w:w="0" w:type="dxa"/>
            <w:left w:w="108" w:type="dxa"/>
            <w:bottom w:w="0" w:type="dxa"/>
            <w:right w:w="108" w:type="dxa"/>
          </w:tblCellMar>
        </w:tblPrEx>
        <w:trPr>
          <w:trHeight w:val="155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周围绿化程度高、景观好，低噪音、环境优美、无水污染</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周围绿化程度较高、景观较好，噪音较低、基本无水污染</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周围有一定的绿化、景观一般，有轻微的噪音污染、水污染</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周围绿化程度较低、景观较差、噪音污染较大，水污染较严重</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周围绿化程度低或没绿化、景观差，噪音大，水污染严重</w:t>
            </w:r>
          </w:p>
        </w:tc>
      </w:tr>
      <w:tr>
        <w:tblPrEx>
          <w:tblCellMar>
            <w:top w:w="0" w:type="dxa"/>
            <w:left w:w="108" w:type="dxa"/>
            <w:bottom w:w="0" w:type="dxa"/>
            <w:right w:w="108" w:type="dxa"/>
          </w:tblCellMar>
        </w:tblPrEx>
        <w:trPr>
          <w:trHeight w:val="35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0.0125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-0.0216 </w:t>
            </w:r>
          </w:p>
        </w:tc>
      </w:tr>
      <w:tr>
        <w:tblPrEx>
          <w:tblCellMar>
            <w:top w:w="0" w:type="dxa"/>
            <w:left w:w="108" w:type="dxa"/>
            <w:bottom w:w="0" w:type="dxa"/>
            <w:right w:w="108" w:type="dxa"/>
          </w:tblCellMar>
        </w:tblPrEx>
        <w:trPr>
          <w:trHeight w:val="1460"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距商服中心近、在大型商场范围内，人流畅旺</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距商服中心较近、离商场较近，人流较畅旺</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距商服中心有一定距离，与商场距离一般、人流量一般</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距商服中心较远，所在地区商业气氛平淡，人流较少</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距商服中心远，独立、小型、零星的商业用地</w:t>
            </w:r>
          </w:p>
        </w:tc>
      </w:tr>
      <w:tr>
        <w:tblPrEx>
          <w:tblCellMar>
            <w:top w:w="0" w:type="dxa"/>
            <w:left w:w="108" w:type="dxa"/>
            <w:bottom w:w="0" w:type="dxa"/>
            <w:right w:w="108" w:type="dxa"/>
          </w:tblCellMar>
        </w:tblPrEx>
        <w:trPr>
          <w:trHeight w:val="357" w:hRule="atLeast"/>
          <w:jc w:val="center"/>
        </w:trPr>
        <w:tc>
          <w:tcPr>
            <w:tcW w:w="1313" w:type="dxa"/>
            <w:tcBorders>
              <w:top w:val="nil"/>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0.0212 </w:t>
            </w:r>
          </w:p>
        </w:tc>
        <w:tc>
          <w:tcPr>
            <w:tcW w:w="1577"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c>
          <w:tcPr>
            <w:tcW w:w="1577"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c>
          <w:tcPr>
            <w:tcW w:w="1577"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-0.0184 </w:t>
            </w:r>
          </w:p>
        </w:tc>
      </w:tr>
      <w:tr>
        <w:tblPrEx>
          <w:tblCellMar>
            <w:top w:w="0" w:type="dxa"/>
            <w:left w:w="108" w:type="dxa"/>
            <w:bottom w:w="0" w:type="dxa"/>
            <w:right w:w="108" w:type="dxa"/>
          </w:tblCellMar>
        </w:tblPrEx>
        <w:trPr>
          <w:trHeight w:val="343"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人口密度高</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人口密度较高</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人口密度一般</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人口密度较低</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人口密度低</w:t>
            </w:r>
          </w:p>
        </w:tc>
      </w:tr>
      <w:tr>
        <w:tblPrEx>
          <w:tblCellMar>
            <w:top w:w="0" w:type="dxa"/>
            <w:left w:w="108" w:type="dxa"/>
            <w:bottom w:w="0" w:type="dxa"/>
            <w:right w:w="108" w:type="dxa"/>
          </w:tblCellMar>
        </w:tblPrEx>
        <w:trPr>
          <w:trHeight w:val="35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0.0045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-0.0039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-0.0078 </w:t>
            </w:r>
          </w:p>
        </w:tc>
      </w:tr>
      <w:tr>
        <w:tblPrEx>
          <w:tblCellMar>
            <w:top w:w="0" w:type="dxa"/>
            <w:left w:w="108" w:type="dxa"/>
            <w:bottom w:w="0" w:type="dxa"/>
            <w:right w:w="108" w:type="dxa"/>
          </w:tblCellMar>
        </w:tblPrEx>
        <w:trPr>
          <w:trHeight w:val="1460"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区域内规划完善，且为重点商住规划区，近期规划前景好</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区域规划较适合商住规划布局，近期规划前景较好</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区域规划为其他用途规划，规划前景一般</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区域规划为其他用途规划，规划前景较差</w:t>
            </w:r>
          </w:p>
        </w:tc>
        <w:tc>
          <w:tcPr>
            <w:tcW w:w="1577"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区域规划不适宜商住规划布局，规划前景差</w:t>
            </w:r>
          </w:p>
        </w:tc>
      </w:tr>
      <w:tr>
        <w:tblPrEx>
          <w:tblCellMar>
            <w:top w:w="0" w:type="dxa"/>
            <w:left w:w="108" w:type="dxa"/>
            <w:bottom w:w="0" w:type="dxa"/>
            <w:right w:w="108" w:type="dxa"/>
          </w:tblCellMar>
        </w:tblPrEx>
        <w:trPr>
          <w:trHeight w:val="377"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0.0048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-0.0041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r>
    </w:tbl>
    <w:p>
      <w:pPr>
        <w:keepNext/>
        <w:keepLines/>
        <w:tabs>
          <w:tab w:val="left" w:pos="4680"/>
        </w:tabs>
        <w:adjustRightInd w:val="0"/>
        <w:snapToGrid w:val="0"/>
        <w:rPr>
          <w:color w:val="auto"/>
        </w:rPr>
      </w:pPr>
      <w:r>
        <w:rPr>
          <w:color w:val="auto"/>
        </w:rPr>
        <w:br w:type="page"/>
      </w:r>
    </w:p>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表4-3-6  六</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8918" w:type="dxa"/>
        <w:jc w:val="center"/>
        <w:tblLayout w:type="fixed"/>
        <w:tblCellMar>
          <w:top w:w="0" w:type="dxa"/>
          <w:left w:w="108" w:type="dxa"/>
          <w:bottom w:w="0" w:type="dxa"/>
          <w:right w:w="108" w:type="dxa"/>
        </w:tblCellMar>
      </w:tblPr>
      <w:tblGrid>
        <w:gridCol w:w="1273"/>
        <w:gridCol w:w="1529"/>
        <w:gridCol w:w="1529"/>
        <w:gridCol w:w="1529"/>
        <w:gridCol w:w="1529"/>
        <w:gridCol w:w="1529"/>
      </w:tblGrid>
      <w:tr>
        <w:tblPrEx>
          <w:tblCellMar>
            <w:top w:w="0" w:type="dxa"/>
            <w:left w:w="108" w:type="dxa"/>
            <w:bottom w:w="0" w:type="dxa"/>
            <w:right w:w="108" w:type="dxa"/>
          </w:tblCellMar>
        </w:tblPrEx>
        <w:trPr>
          <w:trHeight w:val="342" w:hRule="atLeast"/>
          <w:tblHeader/>
          <w:jc w:val="center"/>
        </w:trPr>
        <w:tc>
          <w:tcPr>
            <w:tcW w:w="1273"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2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2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2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2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2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42" w:hRule="atLeast"/>
          <w:tblHeader/>
          <w:jc w:val="center"/>
        </w:trPr>
        <w:tc>
          <w:tcPr>
            <w:tcW w:w="1273"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2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2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2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2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2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2004" w:hRule="atLeast"/>
          <w:jc w:val="center"/>
        </w:trPr>
        <w:tc>
          <w:tcPr>
            <w:tcW w:w="127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市政供水、供电保证率高，排水状况好，周围学校、银行、医院等生活设施配套完备</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市政供水、供电保证率较高，排水状况较好，周围学校、银行、医院等生活设施配套较完备</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市政供水、供电保证率一般，排水状况一般，周围学校、银行、医院等生活设施配套一般</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市政供水、供电保证率较低，排水状况较差，离学校、银行、医院等生活设施有一定的距离</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市政供水、供电保证率低，排水状况差，离学校、银行、医院较远，生活设施配套不完备</w:t>
            </w:r>
          </w:p>
        </w:tc>
      </w:tr>
      <w:tr>
        <w:tblPrEx>
          <w:tblCellMar>
            <w:top w:w="0" w:type="dxa"/>
            <w:left w:w="108" w:type="dxa"/>
            <w:bottom w:w="0" w:type="dxa"/>
            <w:right w:w="108" w:type="dxa"/>
          </w:tblCellMar>
        </w:tblPrEx>
        <w:trPr>
          <w:trHeight w:val="342"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0.0296 </w:t>
            </w:r>
          </w:p>
        </w:tc>
        <w:tc>
          <w:tcPr>
            <w:tcW w:w="152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0.0148 </w:t>
            </w:r>
          </w:p>
        </w:tc>
        <w:tc>
          <w:tcPr>
            <w:tcW w:w="152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-0.0137 </w:t>
            </w:r>
          </w:p>
        </w:tc>
        <w:tc>
          <w:tcPr>
            <w:tcW w:w="152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-0.0274 </w:t>
            </w:r>
          </w:p>
        </w:tc>
      </w:tr>
      <w:tr>
        <w:tblPrEx>
          <w:tblCellMar>
            <w:top w:w="0" w:type="dxa"/>
            <w:left w:w="108" w:type="dxa"/>
            <w:bottom w:w="0" w:type="dxa"/>
            <w:right w:w="108" w:type="dxa"/>
          </w:tblCellMar>
        </w:tblPrEx>
        <w:trPr>
          <w:trHeight w:val="1721"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道路通达度高，距长途汽车站近，公交便捷度高，交通方便</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道路通达度较高，距长途汽车站较近，公交便捷度较高，交通较方便</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道路通达度一般，距长途汽车站距离一般，公交便捷度一般，交通一般</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道路通达度较低，距长途汽车站较远，公交便捷度较差，交通较差</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道路通达度低，距长途汽车站远，公交便捷度差，交通不方便</w:t>
            </w:r>
          </w:p>
        </w:tc>
      </w:tr>
      <w:tr>
        <w:tblPrEx>
          <w:tblCellMar>
            <w:top w:w="0" w:type="dxa"/>
            <w:left w:w="108" w:type="dxa"/>
            <w:bottom w:w="0" w:type="dxa"/>
            <w:right w:w="108" w:type="dxa"/>
          </w:tblCellMar>
        </w:tblPrEx>
        <w:trPr>
          <w:trHeight w:val="342"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0.0258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0.0129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-0.0240 </w:t>
            </w:r>
          </w:p>
        </w:tc>
      </w:tr>
      <w:tr>
        <w:tblPrEx>
          <w:tblCellMar>
            <w:top w:w="0" w:type="dxa"/>
            <w:left w:w="108" w:type="dxa"/>
            <w:bottom w:w="0" w:type="dxa"/>
            <w:right w:w="108" w:type="dxa"/>
          </w:tblCellMar>
        </w:tblPrEx>
        <w:trPr>
          <w:trHeight w:val="1456"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周围绿化程度高、景观好，低噪音、环境优美、无水污染</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周围绿化程度较高、景观较好，噪音较低、基本无水污染</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周围有一定的绿化、景观一般，有轻微的噪音污染、水污染</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周围绿化程度较低、景观较差、噪音污染较大，水污染较严重</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周围绿化程度低或没绿化、景观差，噪音大，水污染严重</w:t>
            </w:r>
          </w:p>
        </w:tc>
      </w:tr>
      <w:tr>
        <w:tblPrEx>
          <w:tblCellMar>
            <w:top w:w="0" w:type="dxa"/>
            <w:left w:w="108" w:type="dxa"/>
            <w:bottom w:w="0" w:type="dxa"/>
            <w:right w:w="108" w:type="dxa"/>
          </w:tblCellMar>
        </w:tblPrEx>
        <w:trPr>
          <w:trHeight w:val="342"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0.0206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0.0103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-0.0095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-0.0190 </w:t>
            </w:r>
          </w:p>
        </w:tc>
      </w:tr>
      <w:tr>
        <w:tblPrEx>
          <w:tblCellMar>
            <w:top w:w="0" w:type="dxa"/>
            <w:left w:w="108" w:type="dxa"/>
            <w:bottom w:w="0" w:type="dxa"/>
            <w:right w:w="108" w:type="dxa"/>
          </w:tblCellMar>
        </w:tblPrEx>
        <w:trPr>
          <w:trHeight w:val="1438"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距商服中心近、在大型商场范围内，人流畅旺</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距商服中心较近、离商场较近，人流较畅旺</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距商服中心有一定距离，与商场距离一般、人流量一般</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距商服中心较远，所在地区商业气氛平淡，人流较少</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距商服中心远，独立、小型、零星的商业用地</w:t>
            </w:r>
          </w:p>
        </w:tc>
      </w:tr>
      <w:tr>
        <w:tblPrEx>
          <w:tblCellMar>
            <w:top w:w="0" w:type="dxa"/>
            <w:left w:w="108" w:type="dxa"/>
            <w:bottom w:w="0" w:type="dxa"/>
            <w:right w:w="108" w:type="dxa"/>
          </w:tblCellMar>
        </w:tblPrEx>
        <w:trPr>
          <w:trHeight w:val="342" w:hRule="atLeast"/>
          <w:jc w:val="center"/>
        </w:trPr>
        <w:tc>
          <w:tcPr>
            <w:tcW w:w="1273" w:type="dxa"/>
            <w:tcBorders>
              <w:top w:val="nil"/>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0.0174 </w:t>
            </w:r>
          </w:p>
        </w:tc>
        <w:tc>
          <w:tcPr>
            <w:tcW w:w="152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0.0087 </w:t>
            </w:r>
          </w:p>
        </w:tc>
        <w:tc>
          <w:tcPr>
            <w:tcW w:w="152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-0.0081 </w:t>
            </w:r>
          </w:p>
        </w:tc>
        <w:tc>
          <w:tcPr>
            <w:tcW w:w="1529"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-0.0162 </w:t>
            </w:r>
          </w:p>
        </w:tc>
      </w:tr>
      <w:tr>
        <w:tblPrEx>
          <w:tblCellMar>
            <w:top w:w="0" w:type="dxa"/>
            <w:left w:w="108" w:type="dxa"/>
            <w:bottom w:w="0" w:type="dxa"/>
            <w:right w:w="108" w:type="dxa"/>
          </w:tblCellMar>
        </w:tblPrEx>
        <w:trPr>
          <w:trHeight w:val="330"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人口密度高</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人口密度较高</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人口密度一般</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人口密度较低</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人口密度低</w:t>
            </w:r>
          </w:p>
        </w:tc>
      </w:tr>
      <w:tr>
        <w:tblPrEx>
          <w:tblCellMar>
            <w:top w:w="0" w:type="dxa"/>
            <w:left w:w="108" w:type="dxa"/>
            <w:bottom w:w="0" w:type="dxa"/>
            <w:right w:w="108" w:type="dxa"/>
          </w:tblCellMar>
        </w:tblPrEx>
        <w:trPr>
          <w:trHeight w:val="342"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0.0074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0.0037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-0.0034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-0.0068 </w:t>
            </w:r>
          </w:p>
        </w:tc>
      </w:tr>
      <w:tr>
        <w:tblPrEx>
          <w:tblCellMar>
            <w:top w:w="0" w:type="dxa"/>
            <w:left w:w="108" w:type="dxa"/>
            <w:bottom w:w="0" w:type="dxa"/>
            <w:right w:w="108" w:type="dxa"/>
          </w:tblCellMar>
        </w:tblPrEx>
        <w:trPr>
          <w:trHeight w:val="1438"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区域内规划完善，且为重点商住规划区，近期规划前景好</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区域规划较适合商住规划布局，近期规划前景较好</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区域规划为其他用途规划，规划前景一般</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区域规划为其他用途规划，规划前景较差</w:t>
            </w:r>
          </w:p>
        </w:tc>
        <w:tc>
          <w:tcPr>
            <w:tcW w:w="1529"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区域规划不适宜商住规划布局，规划前景差</w:t>
            </w:r>
          </w:p>
        </w:tc>
      </w:tr>
      <w:tr>
        <w:tblPrEx>
          <w:tblCellMar>
            <w:top w:w="0" w:type="dxa"/>
            <w:left w:w="108" w:type="dxa"/>
            <w:bottom w:w="0" w:type="dxa"/>
            <w:right w:w="108" w:type="dxa"/>
          </w:tblCellMar>
        </w:tblPrEx>
        <w:trPr>
          <w:trHeight w:val="373" w:hRule="atLeast"/>
          <w:jc w:val="center"/>
        </w:trPr>
        <w:tc>
          <w:tcPr>
            <w:tcW w:w="127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0.0039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-0.0036 </w:t>
            </w:r>
          </w:p>
        </w:tc>
        <w:tc>
          <w:tcPr>
            <w:tcW w:w="152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r>
    </w:tbl>
    <w:p>
      <w:pPr>
        <w:rPr>
          <w:color w:val="auto"/>
        </w:rPr>
      </w:pPr>
      <w:r>
        <w:rPr>
          <w:color w:val="auto"/>
        </w:rPr>
        <w:br w:type="page"/>
      </w:r>
    </w:p>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表4-3-7  七</w:t>
      </w:r>
      <w:r>
        <w:rPr>
          <w:rFonts w:eastAsia="仿宋_GB2312"/>
          <w:b/>
          <w:bCs/>
          <w:color w:val="auto"/>
          <w:sz w:val="24"/>
        </w:rPr>
        <w:t>级</w:t>
      </w:r>
      <w:r>
        <w:rPr>
          <w:rFonts w:hint="eastAsia" w:eastAsia="仿宋_GB2312"/>
          <w:b/>
          <w:bCs/>
          <w:color w:val="auto"/>
          <w:sz w:val="24"/>
        </w:rPr>
        <w:t>住宅</w:t>
      </w:r>
      <w:r>
        <w:rPr>
          <w:rFonts w:eastAsia="仿宋_GB2312"/>
          <w:b/>
          <w:bCs/>
          <w:color w:val="auto"/>
          <w:sz w:val="24"/>
        </w:rPr>
        <w:t>用地区域因素修正系数表</w:t>
      </w:r>
    </w:p>
    <w:tbl>
      <w:tblPr>
        <w:tblStyle w:val="88"/>
        <w:tblW w:w="8819" w:type="dxa"/>
        <w:jc w:val="center"/>
        <w:tblLayout w:type="autofit"/>
        <w:tblCellMar>
          <w:top w:w="0" w:type="dxa"/>
          <w:left w:w="108" w:type="dxa"/>
          <w:bottom w:w="0" w:type="dxa"/>
          <w:right w:w="108" w:type="dxa"/>
        </w:tblCellMar>
      </w:tblPr>
      <w:tblGrid>
        <w:gridCol w:w="1259"/>
        <w:gridCol w:w="1512"/>
        <w:gridCol w:w="1512"/>
        <w:gridCol w:w="1512"/>
        <w:gridCol w:w="1512"/>
        <w:gridCol w:w="1512"/>
      </w:tblGrid>
      <w:tr>
        <w:tblPrEx>
          <w:tblCellMar>
            <w:top w:w="0" w:type="dxa"/>
            <w:left w:w="108" w:type="dxa"/>
            <w:bottom w:w="0" w:type="dxa"/>
            <w:right w:w="108" w:type="dxa"/>
          </w:tblCellMar>
        </w:tblPrEx>
        <w:trPr>
          <w:trHeight w:val="357" w:hRule="atLeast"/>
          <w:jc w:val="center"/>
        </w:trPr>
        <w:tc>
          <w:tcPr>
            <w:tcW w:w="1259"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1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357" w:hRule="atLeast"/>
          <w:jc w:val="center"/>
        </w:trPr>
        <w:tc>
          <w:tcPr>
            <w:tcW w:w="125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c>
          <w:tcPr>
            <w:tcW w:w="1512"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p>
        </w:tc>
      </w:tr>
      <w:tr>
        <w:tblPrEx>
          <w:tblCellMar>
            <w:top w:w="0" w:type="dxa"/>
            <w:left w:w="108" w:type="dxa"/>
            <w:bottom w:w="0" w:type="dxa"/>
            <w:right w:w="108" w:type="dxa"/>
          </w:tblCellMar>
        </w:tblPrEx>
        <w:trPr>
          <w:trHeight w:val="1994" w:hRule="atLeast"/>
          <w:jc w:val="center"/>
        </w:trPr>
        <w:tc>
          <w:tcPr>
            <w:tcW w:w="12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市政供水、供电保证率高，排水状况好，周围学校、银行、医院等生活设施配套完备</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市政供水、供电保证率较高，排水状况较好，周围学校、银行、医院等生活设施配套较完备</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市政供水、供电保证率一般，排水状况一般，周围学校、银行、医院等生活设施配套一般</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市政供水、供电保证率较低，排水状况较差，离学校、银行、医院等生活设施有一定的距离</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市政供水、供电保证率低，排水状况差，离学校、银行、医院较远，生活设施配套不完备</w:t>
            </w:r>
          </w:p>
        </w:tc>
      </w:tr>
      <w:tr>
        <w:tblPrEx>
          <w:tblCellMar>
            <w:top w:w="0" w:type="dxa"/>
            <w:left w:w="108" w:type="dxa"/>
            <w:bottom w:w="0" w:type="dxa"/>
            <w:right w:w="108" w:type="dxa"/>
          </w:tblCellMar>
        </w:tblPrEx>
        <w:trPr>
          <w:trHeight w:val="357"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0.0222 </w:t>
            </w:r>
          </w:p>
        </w:tc>
        <w:tc>
          <w:tcPr>
            <w:tcW w:w="1512"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0.0111 </w:t>
            </w:r>
          </w:p>
        </w:tc>
        <w:tc>
          <w:tcPr>
            <w:tcW w:w="1512"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-0.0113 </w:t>
            </w:r>
          </w:p>
        </w:tc>
        <w:tc>
          <w:tcPr>
            <w:tcW w:w="1512"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-0.0226 </w:t>
            </w:r>
          </w:p>
        </w:tc>
      </w:tr>
      <w:tr>
        <w:tblPrEx>
          <w:tblCellMar>
            <w:top w:w="0" w:type="dxa"/>
            <w:left w:w="108" w:type="dxa"/>
            <w:bottom w:w="0" w:type="dxa"/>
            <w:right w:w="108" w:type="dxa"/>
          </w:tblCellMar>
        </w:tblPrEx>
        <w:trPr>
          <w:trHeight w:val="1712"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道路通达度高，距长途汽车站近，公交便捷度高，交通方便</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道路通达度较高，距长途汽车站较近，公交便捷度较高，交通较方便</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道路通达度一般，距长途汽车站距离一般，公交便捷度一般，交通一般</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道路通达度较低，距长途汽车站较远，公交便捷度较差，交通较差</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道路通达度低，距长途汽车站远，公交便捷度差，交通不方便</w:t>
            </w:r>
          </w:p>
        </w:tc>
      </w:tr>
      <w:tr>
        <w:tblPrEx>
          <w:tblCellMar>
            <w:top w:w="0" w:type="dxa"/>
            <w:left w:w="108" w:type="dxa"/>
            <w:bottom w:w="0" w:type="dxa"/>
            <w:right w:w="108" w:type="dxa"/>
          </w:tblCellMar>
        </w:tblPrEx>
        <w:trPr>
          <w:trHeight w:val="357"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0.0194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0.0097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-0.0099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-0.0198 </w:t>
            </w:r>
          </w:p>
        </w:tc>
      </w:tr>
      <w:tr>
        <w:tblPrEx>
          <w:tblCellMar>
            <w:top w:w="0" w:type="dxa"/>
            <w:left w:w="108" w:type="dxa"/>
            <w:bottom w:w="0" w:type="dxa"/>
            <w:right w:w="108" w:type="dxa"/>
          </w:tblCellMar>
        </w:tblPrEx>
        <w:trPr>
          <w:trHeight w:val="1521"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周围绿化程度高、景观好，低噪音、环境优美、无水污染</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周围绿化程度较高、景观较好，噪音较低、基本无水污染</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周围有一定的绿化、景观一般，有轻微的噪音污染、水污染</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周围绿化程度较低、景观较差、噪音污染较大，水污染较严重</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周围绿化程度低或没绿化、景观差，噪音大，水污染严重</w:t>
            </w:r>
          </w:p>
        </w:tc>
      </w:tr>
      <w:tr>
        <w:tblPrEx>
          <w:tblCellMar>
            <w:top w:w="0" w:type="dxa"/>
            <w:left w:w="108" w:type="dxa"/>
            <w:bottom w:w="0" w:type="dxa"/>
            <w:right w:w="108" w:type="dxa"/>
          </w:tblCellMar>
        </w:tblPrEx>
        <w:trPr>
          <w:trHeight w:val="357"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0.0154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0.0077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-0.0078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-0.0156 </w:t>
            </w:r>
          </w:p>
        </w:tc>
      </w:tr>
      <w:tr>
        <w:tblPrEx>
          <w:tblCellMar>
            <w:top w:w="0" w:type="dxa"/>
            <w:left w:w="108" w:type="dxa"/>
            <w:bottom w:w="0" w:type="dxa"/>
            <w:right w:w="108" w:type="dxa"/>
          </w:tblCellMar>
        </w:tblPrEx>
        <w:trPr>
          <w:trHeight w:val="1430"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距商服中心近、在大型商场范围内，人流畅旺</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距商服中心较近、离商场较近，人流较畅旺</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距商服中心有一定距离，与商场距离一般、人流量一般</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距商服中心较远，所在地区商业气氛平淡，人流较少</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距商服中心远，独立、小型、零星的商业用地</w:t>
            </w:r>
          </w:p>
        </w:tc>
      </w:tr>
      <w:tr>
        <w:tblPrEx>
          <w:tblCellMar>
            <w:top w:w="0" w:type="dxa"/>
            <w:left w:w="108" w:type="dxa"/>
            <w:bottom w:w="0" w:type="dxa"/>
            <w:right w:w="108" w:type="dxa"/>
          </w:tblCellMar>
        </w:tblPrEx>
        <w:trPr>
          <w:trHeight w:val="357" w:hRule="atLeast"/>
          <w:jc w:val="center"/>
        </w:trPr>
        <w:tc>
          <w:tcPr>
            <w:tcW w:w="1259" w:type="dxa"/>
            <w:tcBorders>
              <w:top w:val="nil"/>
              <w:left w:val="single" w:color="auto" w:sz="4" w:space="0"/>
              <w:bottom w:val="single" w:color="auto" w:sz="4" w:space="0"/>
              <w:right w:val="single" w:color="auto" w:sz="4" w:space="0"/>
            </w:tcBorders>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c>
          <w:tcPr>
            <w:tcW w:w="1512"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0.0065 </w:t>
            </w:r>
          </w:p>
        </w:tc>
        <w:tc>
          <w:tcPr>
            <w:tcW w:w="1512"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c>
          <w:tcPr>
            <w:tcW w:w="1512" w:type="dxa"/>
            <w:tcBorders>
              <w:top w:val="nil"/>
              <w:left w:val="nil"/>
              <w:bottom w:val="single" w:color="auto" w:sz="4" w:space="0"/>
              <w:right w:val="single" w:color="auto" w:sz="4" w:space="0"/>
            </w:tcBorders>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r>
      <w:tr>
        <w:tblPrEx>
          <w:tblCellMar>
            <w:top w:w="0" w:type="dxa"/>
            <w:left w:w="108" w:type="dxa"/>
            <w:bottom w:w="0" w:type="dxa"/>
            <w:right w:w="108" w:type="dxa"/>
          </w:tblCellMar>
        </w:tblPrEx>
        <w:trPr>
          <w:trHeight w:val="345"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人口密度高</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人口密度较高</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人口密度一般</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人口密度较低</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人口密度低</w:t>
            </w:r>
          </w:p>
        </w:tc>
      </w:tr>
      <w:tr>
        <w:tblPrEx>
          <w:tblCellMar>
            <w:top w:w="0" w:type="dxa"/>
            <w:left w:w="108" w:type="dxa"/>
            <w:bottom w:w="0" w:type="dxa"/>
            <w:right w:w="108" w:type="dxa"/>
          </w:tblCellMar>
        </w:tblPrEx>
        <w:trPr>
          <w:trHeight w:val="357"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0.0028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-0.0028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r>
      <w:tr>
        <w:tblPrEx>
          <w:tblCellMar>
            <w:top w:w="0" w:type="dxa"/>
            <w:left w:w="108" w:type="dxa"/>
            <w:bottom w:w="0" w:type="dxa"/>
            <w:right w:w="108" w:type="dxa"/>
          </w:tblCellMar>
        </w:tblPrEx>
        <w:trPr>
          <w:trHeight w:val="1430"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区域内规划完善，且为重点商住规划区，近期规划前景好</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区域规划较适合商住规划布局，近期规划前景较好</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区域规划为其他用途规划，规划前景一般</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区域规划为其他用途规划，规划前景较差</w:t>
            </w:r>
          </w:p>
        </w:tc>
        <w:tc>
          <w:tcPr>
            <w:tcW w:w="1512" w:type="dxa"/>
            <w:tcBorders>
              <w:top w:val="nil"/>
              <w:left w:val="nil"/>
              <w:bottom w:val="single" w:color="auto" w:sz="4" w:space="0"/>
              <w:right w:val="single" w:color="auto" w:sz="4" w:space="0"/>
            </w:tcBorders>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区域规划不适宜商住规划布局，规划前景差</w:t>
            </w:r>
          </w:p>
        </w:tc>
      </w:tr>
      <w:tr>
        <w:tblPrEx>
          <w:tblCellMar>
            <w:top w:w="0" w:type="dxa"/>
            <w:left w:w="108" w:type="dxa"/>
            <w:bottom w:w="0" w:type="dxa"/>
            <w:right w:w="108" w:type="dxa"/>
          </w:tblCellMar>
        </w:tblPrEx>
        <w:trPr>
          <w:trHeight w:val="388" w:hRule="atLeast"/>
          <w:jc w:val="center"/>
        </w:trPr>
        <w:tc>
          <w:tcPr>
            <w:tcW w:w="125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-0.0030 </w:t>
            </w:r>
          </w:p>
        </w:tc>
        <w:tc>
          <w:tcPr>
            <w:tcW w:w="151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-0.0060 </w:t>
            </w:r>
          </w:p>
        </w:tc>
      </w:tr>
    </w:tbl>
    <w:p>
      <w:pPr>
        <w:keepNext/>
        <w:adjustRightInd w:val="0"/>
        <w:snapToGrid w:val="0"/>
        <w:spacing w:before="156" w:beforeLines="50" w:after="156" w:afterLines="50" w:line="240" w:lineRule="auto"/>
        <w:jc w:val="center"/>
        <w:rPr>
          <w:rFonts w:eastAsia="仿宋_GB2312"/>
          <w:b/>
          <w:bCs/>
          <w:color w:val="auto"/>
          <w:sz w:val="24"/>
        </w:rPr>
      </w:pPr>
      <w:r>
        <w:rPr>
          <w:rFonts w:hint="eastAsia" w:eastAsia="仿宋_GB2312"/>
          <w:b/>
          <w:bCs/>
          <w:color w:val="auto"/>
          <w:sz w:val="24"/>
        </w:rPr>
        <w:t>表4-3-8  八级住宅</w:t>
      </w:r>
      <w:r>
        <w:rPr>
          <w:rFonts w:eastAsia="仿宋_GB2312"/>
          <w:b/>
          <w:bCs/>
          <w:color w:val="auto"/>
          <w:sz w:val="24"/>
        </w:rPr>
        <w:t>用地区域因素修正系数表</w:t>
      </w:r>
    </w:p>
    <w:tbl>
      <w:tblPr>
        <w:tblStyle w:val="88"/>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91"/>
        <w:gridCol w:w="1491"/>
        <w:gridCol w:w="1491"/>
        <w:gridCol w:w="1491"/>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jc w:val="center"/>
        </w:trPr>
        <w:tc>
          <w:tcPr>
            <w:tcW w:w="1242" w:type="dxa"/>
            <w:vMerge w:val="restart"/>
            <w:tcBorders>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491" w:type="dxa"/>
            <w:vMerge w:val="restart"/>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491" w:type="dxa"/>
            <w:vMerge w:val="restart"/>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491" w:type="dxa"/>
            <w:vMerge w:val="restart"/>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491" w:type="dxa"/>
            <w:vMerge w:val="restart"/>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491" w:type="dxa"/>
            <w:vMerge w:val="restart"/>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jc w:val="center"/>
        </w:trPr>
        <w:tc>
          <w:tcPr>
            <w:tcW w:w="1242" w:type="dxa"/>
            <w:vMerge w:val="continue"/>
            <w:vAlign w:val="center"/>
          </w:tcPr>
          <w:p>
            <w:pPr>
              <w:adjustRightInd w:val="0"/>
              <w:snapToGrid w:val="0"/>
              <w:spacing w:line="240" w:lineRule="auto"/>
              <w:jc w:val="center"/>
              <w:rPr>
                <w:rFonts w:eastAsia="仿宋_GB2312" w:cs="宋体"/>
                <w:b/>
                <w:bCs/>
                <w:color w:val="auto"/>
                <w:kern w:val="0"/>
                <w:sz w:val="22"/>
                <w:szCs w:val="22"/>
              </w:rPr>
            </w:pPr>
          </w:p>
        </w:tc>
        <w:tc>
          <w:tcPr>
            <w:tcW w:w="1491" w:type="dxa"/>
            <w:vMerge w:val="continue"/>
            <w:vAlign w:val="center"/>
          </w:tcPr>
          <w:p>
            <w:pPr>
              <w:adjustRightInd w:val="0"/>
              <w:snapToGrid w:val="0"/>
              <w:spacing w:line="240" w:lineRule="auto"/>
              <w:jc w:val="center"/>
              <w:rPr>
                <w:rFonts w:eastAsia="仿宋_GB2312" w:cs="宋体"/>
                <w:b/>
                <w:bCs/>
                <w:color w:val="auto"/>
                <w:kern w:val="0"/>
                <w:sz w:val="22"/>
                <w:szCs w:val="22"/>
              </w:rPr>
            </w:pPr>
          </w:p>
        </w:tc>
        <w:tc>
          <w:tcPr>
            <w:tcW w:w="1491" w:type="dxa"/>
            <w:vMerge w:val="continue"/>
            <w:vAlign w:val="center"/>
          </w:tcPr>
          <w:p>
            <w:pPr>
              <w:adjustRightInd w:val="0"/>
              <w:snapToGrid w:val="0"/>
              <w:spacing w:line="240" w:lineRule="auto"/>
              <w:jc w:val="center"/>
              <w:rPr>
                <w:rFonts w:eastAsia="仿宋_GB2312" w:cs="宋体"/>
                <w:b/>
                <w:bCs/>
                <w:color w:val="auto"/>
                <w:kern w:val="0"/>
                <w:sz w:val="22"/>
                <w:szCs w:val="22"/>
              </w:rPr>
            </w:pPr>
          </w:p>
        </w:tc>
        <w:tc>
          <w:tcPr>
            <w:tcW w:w="1491" w:type="dxa"/>
            <w:vMerge w:val="continue"/>
            <w:vAlign w:val="center"/>
          </w:tcPr>
          <w:p>
            <w:pPr>
              <w:adjustRightInd w:val="0"/>
              <w:snapToGrid w:val="0"/>
              <w:spacing w:line="240" w:lineRule="auto"/>
              <w:jc w:val="center"/>
              <w:rPr>
                <w:rFonts w:eastAsia="仿宋_GB2312" w:cs="宋体"/>
                <w:b/>
                <w:bCs/>
                <w:color w:val="auto"/>
                <w:kern w:val="0"/>
                <w:sz w:val="22"/>
                <w:szCs w:val="22"/>
              </w:rPr>
            </w:pPr>
          </w:p>
        </w:tc>
        <w:tc>
          <w:tcPr>
            <w:tcW w:w="1491" w:type="dxa"/>
            <w:vMerge w:val="continue"/>
            <w:vAlign w:val="center"/>
          </w:tcPr>
          <w:p>
            <w:pPr>
              <w:adjustRightInd w:val="0"/>
              <w:snapToGrid w:val="0"/>
              <w:spacing w:line="240" w:lineRule="auto"/>
              <w:jc w:val="center"/>
              <w:rPr>
                <w:rFonts w:eastAsia="仿宋_GB2312" w:cs="宋体"/>
                <w:b/>
                <w:bCs/>
                <w:color w:val="auto"/>
                <w:kern w:val="0"/>
                <w:sz w:val="22"/>
                <w:szCs w:val="22"/>
              </w:rPr>
            </w:pPr>
          </w:p>
        </w:tc>
        <w:tc>
          <w:tcPr>
            <w:tcW w:w="1491" w:type="dxa"/>
            <w:vMerge w:val="continue"/>
            <w:vAlign w:val="center"/>
          </w:tcPr>
          <w:p>
            <w:pPr>
              <w:adjustRightInd w:val="0"/>
              <w:snapToGrid w:val="0"/>
              <w:spacing w:line="240" w:lineRule="auto"/>
              <w:jc w:val="center"/>
              <w:rPr>
                <w:rFonts w:eastAsia="仿宋_GB2312" w:cs="宋体"/>
                <w:b/>
                <w:bCs/>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市政供水、供电保证率高，排水状况好，周围学校、银行、医院等生活设施配套完备</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市政供水、供电保证率较高，排水状况较好，周围学校、银行、医院等生活设施配套较完备</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市政供水、供电保证率一般，排水状况一般，周围学校、银行、医院等生活设施配套一般</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市政供水、供电保证率较低，排水状况较差，离学校、银行、医院等生活设施有一定的距离</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市政供水、供电保证率低，排水状况差，离学校、银行、医院较远，生活设施配套不完备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0.0214 </w:t>
            </w:r>
          </w:p>
        </w:tc>
        <w:tc>
          <w:tcPr>
            <w:tcW w:w="1491" w:type="dxa"/>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0.0107 </w:t>
            </w:r>
          </w:p>
        </w:tc>
        <w:tc>
          <w:tcPr>
            <w:tcW w:w="1491" w:type="dxa"/>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-0.0104 </w:t>
            </w:r>
          </w:p>
        </w:tc>
        <w:tc>
          <w:tcPr>
            <w:tcW w:w="1491" w:type="dxa"/>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1242"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491"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color w:val="auto"/>
                <w:kern w:val="0"/>
                <w:sz w:val="22"/>
                <w:szCs w:val="22"/>
              </w:rPr>
            </w:pPr>
            <w:r>
              <w:rPr>
                <w:rFonts w:hint="eastAsia" w:eastAsia="仿宋_GB2312" w:cs="宋体"/>
                <w:color w:val="auto"/>
                <w:kern w:val="0"/>
                <w:sz w:val="22"/>
                <w:szCs w:val="22"/>
              </w:rPr>
              <w:t>道路通达度高，距长途汽车站近，公交便捷度高，交通方便</w:t>
            </w:r>
          </w:p>
        </w:tc>
        <w:tc>
          <w:tcPr>
            <w:tcW w:w="1491"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color w:val="auto"/>
                <w:kern w:val="0"/>
                <w:sz w:val="22"/>
                <w:szCs w:val="22"/>
              </w:rPr>
            </w:pPr>
            <w:r>
              <w:rPr>
                <w:rFonts w:hint="eastAsia" w:eastAsia="仿宋_GB2312" w:cs="宋体"/>
                <w:color w:val="auto"/>
                <w:kern w:val="0"/>
                <w:sz w:val="22"/>
                <w:szCs w:val="22"/>
              </w:rPr>
              <w:t>道路通达度较高，距长途汽车站较近，公交便捷度较高，交通较方便</w:t>
            </w:r>
          </w:p>
        </w:tc>
        <w:tc>
          <w:tcPr>
            <w:tcW w:w="1491"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color w:val="auto"/>
                <w:kern w:val="0"/>
                <w:sz w:val="22"/>
                <w:szCs w:val="22"/>
              </w:rPr>
            </w:pPr>
            <w:r>
              <w:rPr>
                <w:rFonts w:hint="eastAsia" w:eastAsia="仿宋_GB2312" w:cs="宋体"/>
                <w:color w:val="auto"/>
                <w:kern w:val="0"/>
                <w:sz w:val="22"/>
                <w:szCs w:val="22"/>
              </w:rPr>
              <w:t>道路通达度一般，距长途汽车站距离一般，公交便捷度一般，交通一般</w:t>
            </w:r>
          </w:p>
        </w:tc>
        <w:tc>
          <w:tcPr>
            <w:tcW w:w="1491"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color w:val="auto"/>
                <w:kern w:val="0"/>
                <w:sz w:val="22"/>
                <w:szCs w:val="22"/>
              </w:rPr>
            </w:pPr>
            <w:r>
              <w:rPr>
                <w:rFonts w:hint="eastAsia" w:eastAsia="仿宋_GB2312" w:cs="宋体"/>
                <w:color w:val="auto"/>
                <w:kern w:val="0"/>
                <w:sz w:val="22"/>
                <w:szCs w:val="22"/>
              </w:rPr>
              <w:t>道路通达度较低，距长途汽车站较远，公交便捷度较差，交通较差</w:t>
            </w:r>
          </w:p>
        </w:tc>
        <w:tc>
          <w:tcPr>
            <w:tcW w:w="1491" w:type="dxa"/>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auto"/>
              <w:rPr>
                <w:rFonts w:eastAsia="仿宋_GB2312" w:cs="宋体"/>
                <w:color w:val="auto"/>
                <w:kern w:val="0"/>
                <w:sz w:val="22"/>
                <w:szCs w:val="22"/>
              </w:rPr>
            </w:pPr>
            <w:r>
              <w:rPr>
                <w:rFonts w:hint="eastAsia" w:eastAsia="仿宋_GB2312" w:cs="宋体"/>
                <w:color w:val="auto"/>
                <w:kern w:val="0"/>
                <w:sz w:val="22"/>
                <w:szCs w:val="22"/>
              </w:rPr>
              <w:t>道路通达度低，距长途汽车站远，公交便捷度差，交通不方便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0.0093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-0.0091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周围绿化程度高、景观好，低噪音、环境优美、无水污染</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周围绿化程度较高、景观较好，噪音较低、基本无水污染</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周围有一定的绿化、景观一般，有轻微的噪音污染、水污染</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周围绿化程度较低、景观较差、噪音污染较大，水污染较严重</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周围绿化程度低或没绿化、景观差，噪音大，水污染严重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0.0148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0.0074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距商服中心近、在大型商场范围内，人流畅旺</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距商服中心较近、离商场较近，人流较畅旺</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距商服中心有一定距离，与商场距离一般、人流量一般</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距商服中心较远，所在地区商业气氛平淡，人流较少</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距商服中心远，独立、小型、零星的商业用地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42" w:type="dxa"/>
            <w:noWrap/>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0.0126 </w:t>
            </w:r>
          </w:p>
        </w:tc>
        <w:tc>
          <w:tcPr>
            <w:tcW w:w="1491" w:type="dxa"/>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0.0063 </w:t>
            </w:r>
          </w:p>
        </w:tc>
        <w:tc>
          <w:tcPr>
            <w:tcW w:w="1491" w:type="dxa"/>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-0.0061 </w:t>
            </w:r>
          </w:p>
        </w:tc>
        <w:tc>
          <w:tcPr>
            <w:tcW w:w="1491" w:type="dxa"/>
            <w:noWrap/>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人口密度高</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人口密度较高</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人口密度一般</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人口密度较低</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人口密度低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0.0027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-0.0026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区域内规划完善，且为重点商住规划区，近期规划前景好</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区域规划较适合商住规划布局，近期规划前景较好</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区域规划为其他用途规划，规划前景一般</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区域规划为其他用途规划，规划前景较差</w:t>
            </w:r>
          </w:p>
        </w:tc>
        <w:tc>
          <w:tcPr>
            <w:tcW w:w="1491" w:type="dxa"/>
            <w:vAlign w:val="center"/>
          </w:tcPr>
          <w:p>
            <w:pPr>
              <w:adjustRightInd w:val="0"/>
              <w:snapToGrid w:val="0"/>
              <w:spacing w:line="240" w:lineRule="auto"/>
              <w:jc w:val="center"/>
              <w:rPr>
                <w:rFonts w:eastAsia="仿宋_GB2312" w:cs="宋体"/>
                <w:color w:val="auto"/>
                <w:kern w:val="0"/>
                <w:sz w:val="22"/>
                <w:szCs w:val="22"/>
              </w:rPr>
            </w:pPr>
            <w:r>
              <w:rPr>
                <w:rFonts w:hint="eastAsia" w:eastAsia="仿宋_GB2312" w:cs="宋体"/>
                <w:color w:val="auto"/>
                <w:kern w:val="0"/>
                <w:sz w:val="22"/>
                <w:szCs w:val="22"/>
              </w:rPr>
              <w:t>区域规划不适宜商住规划布局，规划前景差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4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0.0028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-0.0028 </w:t>
            </w:r>
          </w:p>
        </w:tc>
        <w:tc>
          <w:tcPr>
            <w:tcW w:w="1491" w:type="dxa"/>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r>
    </w:tbl>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（2）容积率修正</w:t>
      </w:r>
    </w:p>
    <w:p>
      <w:pPr>
        <w:keepNext/>
        <w:adjustRightInd w:val="0"/>
        <w:snapToGrid w:val="0"/>
        <w:spacing w:line="312" w:lineRule="auto"/>
        <w:jc w:val="center"/>
        <w:rPr>
          <w:rFonts w:eastAsia="仿宋_GB2312"/>
          <w:b/>
          <w:bCs/>
          <w:color w:val="auto"/>
          <w:sz w:val="24"/>
        </w:rPr>
      </w:pPr>
      <w:r>
        <w:rPr>
          <w:rFonts w:hint="eastAsia" w:eastAsia="仿宋_GB2312"/>
          <w:b/>
          <w:bCs/>
          <w:color w:val="auto"/>
          <w:sz w:val="24"/>
        </w:rPr>
        <w:t>表4-3-9</w:t>
      </w:r>
      <w:r>
        <w:rPr>
          <w:rFonts w:eastAsia="仿宋_GB2312"/>
          <w:b/>
          <w:bCs/>
          <w:color w:val="auto"/>
          <w:sz w:val="24"/>
        </w:rPr>
        <w:t xml:space="preserve"> </w:t>
      </w:r>
      <w:r>
        <w:rPr>
          <w:rFonts w:hint="eastAsia" w:eastAsia="仿宋_GB2312"/>
          <w:b/>
          <w:bCs/>
          <w:color w:val="auto"/>
          <w:sz w:val="24"/>
        </w:rPr>
        <w:t>住宅用地平均楼面地价容积率修正系数表</w:t>
      </w:r>
    </w:p>
    <w:tbl>
      <w:tblPr>
        <w:tblStyle w:val="88"/>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1"/>
        <w:gridCol w:w="861"/>
        <w:gridCol w:w="868"/>
        <w:gridCol w:w="864"/>
        <w:gridCol w:w="868"/>
        <w:gridCol w:w="868"/>
        <w:gridCol w:w="868"/>
        <w:gridCol w:w="868"/>
        <w:gridCol w:w="868"/>
        <w:gridCol w:w="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1.1</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1.6</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1.7</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1.3195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1.2701</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1.2267</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1.1880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1.1533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1.1220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1.0934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1.0672</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2.6</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1.0207</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1.0000</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0.9759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0.9535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0.9325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0.9129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0.8944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0.8771</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0.8607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2.8</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2.9</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3.5</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0.8452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0.8305</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0.8165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0.8032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0.7906</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0.7785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0.7670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0.7559</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3.7</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3.8</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4.4</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0.7352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0.7255</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0.7161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0.7071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0.6984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0.6901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0.6820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0.6742</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4.6</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4.7</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4.8</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4.9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5.1</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5.3</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0.6594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0.6523</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0.6455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0.6389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0.6325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0.6262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0.6202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0.6143</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5.6</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5.7</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5.8</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5.9</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6.0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6.5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7.0</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0.6030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0.5976</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0.5923</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0.5872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0.5822</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0.5774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0.5547</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0.5345</w:t>
            </w:r>
          </w:p>
        </w:tc>
        <w:tc>
          <w:tcPr>
            <w:tcW w:w="476"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容积率</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8.0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8.5</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9.0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9.5</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10.0</w:t>
            </w:r>
          </w:p>
        </w:tc>
        <w:tc>
          <w:tcPr>
            <w:tcW w:w="1908" w:type="pct"/>
            <w:gridSpan w:val="4"/>
            <w:vMerge w:val="restart"/>
            <w:tcBorders>
              <w:top w:val="single" w:color="auto" w:sz="4" w:space="0"/>
              <w:left w:val="single" w:color="auto" w:sz="4" w:space="0"/>
              <w:bottom w:val="single" w:color="auto" w:sz="4" w:space="0"/>
              <w:right w:val="single" w:color="auto" w:sz="4" w:space="0"/>
              <w:tr2bl w:val="single" w:color="auto" w:sz="4" w:space="0"/>
            </w:tcBorders>
            <w:vAlign w:val="center"/>
          </w:tcPr>
          <w:p>
            <w:pPr>
              <w:widowControl/>
              <w:spacing w:line="280" w:lineRule="exact"/>
              <w:jc w:val="center"/>
              <w:rPr>
                <w:rFonts w:eastAsia="仿宋_GB2312"/>
                <w:color w:val="auto"/>
                <w:spacing w:val="-16"/>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10"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eastAsia="仿宋_GB2312"/>
                <w:b/>
                <w:bCs/>
                <w:color w:val="auto"/>
                <w:kern w:val="0"/>
                <w:sz w:val="24"/>
              </w:rPr>
            </w:pPr>
            <w:r>
              <w:rPr>
                <w:rFonts w:eastAsia="仿宋_GB2312"/>
                <w:b/>
                <w:bCs/>
                <w:color w:val="auto"/>
                <w:kern w:val="0"/>
                <w:sz w:val="24"/>
              </w:rPr>
              <w:t>修正系数</w:t>
            </w:r>
          </w:p>
        </w:tc>
        <w:tc>
          <w:tcPr>
            <w:tcW w:w="474"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0.5000</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0.4851</w:t>
            </w:r>
          </w:p>
        </w:tc>
        <w:tc>
          <w:tcPr>
            <w:tcW w:w="475"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0.4714</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0.4588</w:t>
            </w:r>
          </w:p>
        </w:tc>
        <w:tc>
          <w:tcPr>
            <w:tcW w:w="477" w:type="pct"/>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eastAsia="仿宋_GB2312"/>
                <w:color w:val="auto"/>
                <w:spacing w:val="-16"/>
                <w:kern w:val="0"/>
                <w:sz w:val="24"/>
              </w:rPr>
            </w:pPr>
            <w:r>
              <w:rPr>
                <w:rFonts w:eastAsia="仿宋_GB2312"/>
                <w:color w:val="auto"/>
                <w:spacing w:val="-16"/>
                <w:kern w:val="0"/>
                <w:sz w:val="24"/>
              </w:rPr>
              <w:t>0.4472</w:t>
            </w:r>
          </w:p>
        </w:tc>
        <w:tc>
          <w:tcPr>
            <w:tcW w:w="1908" w:type="pct"/>
            <w:gridSpan w:val="4"/>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eastAsia="仿宋_GB2312"/>
                <w:color w:val="auto"/>
                <w:spacing w:val="-16"/>
                <w:kern w:val="0"/>
                <w:sz w:val="24"/>
              </w:rPr>
            </w:pPr>
          </w:p>
        </w:tc>
      </w:tr>
    </w:tbl>
    <w:p>
      <w:pPr>
        <w:adjustRightInd w:val="0"/>
        <w:snapToGrid w:val="0"/>
        <w:spacing w:before="78" w:beforeLines="25" w:line="264"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olor w:val="auto"/>
          <w:szCs w:val="21"/>
        </w:rPr>
        <w:t>①本表适用于采用楼面地价测算宗地价格</w:t>
      </w:r>
      <w:r>
        <w:rPr>
          <w:rFonts w:hint="eastAsia" w:eastAsia="仿宋_GB2312"/>
          <w:color w:val="auto"/>
          <w:szCs w:val="21"/>
          <w:lang w:eastAsia="zh-CN"/>
        </w:rPr>
        <w:t>。</w:t>
      </w:r>
    </w:p>
    <w:p>
      <w:pPr>
        <w:adjustRightInd w:val="0"/>
        <w:snapToGrid w:val="0"/>
        <w:spacing w:before="78" w:beforeLines="25" w:line="264" w:lineRule="auto"/>
        <w:ind w:firstLine="420" w:firstLineChars="200"/>
        <w:rPr>
          <w:rFonts w:hint="eastAsia" w:eastAsia="仿宋_GB2312"/>
          <w:color w:val="auto"/>
          <w:szCs w:val="21"/>
          <w:lang w:eastAsia="zh-CN"/>
        </w:rPr>
      </w:pPr>
      <w:r>
        <w:rPr>
          <w:rFonts w:hint="eastAsia" w:eastAsia="仿宋_GB2312"/>
          <w:color w:val="auto"/>
          <w:szCs w:val="21"/>
        </w:rPr>
        <w:t>②当宗地容积率在上述容积率之间时，容积率修正系数需根据上表有关数据线性内插计算得到。线性内插公式：</w:t>
      </w:r>
      <w:r>
        <w:rPr>
          <w:rFonts w:eastAsia="仿宋_GB2312"/>
          <w:color w:val="auto"/>
          <w:szCs w:val="21"/>
        </w:rPr>
        <w:t>当r</w:t>
      </w:r>
      <w:r>
        <w:rPr>
          <w:rFonts w:eastAsia="仿宋_GB2312"/>
          <w:color w:val="auto"/>
          <w:szCs w:val="21"/>
          <w:vertAlign w:val="subscript"/>
        </w:rPr>
        <w:t>1</w:t>
      </w:r>
      <w:r>
        <w:rPr>
          <w:rFonts w:eastAsia="仿宋_GB2312"/>
          <w:color w:val="auto"/>
          <w:szCs w:val="21"/>
        </w:rPr>
        <w:t>＜r＜r</w:t>
      </w:r>
      <w:r>
        <w:rPr>
          <w:rFonts w:eastAsia="仿宋_GB2312"/>
          <w:color w:val="auto"/>
          <w:szCs w:val="21"/>
          <w:vertAlign w:val="subscript"/>
        </w:rPr>
        <w:t>2</w:t>
      </w:r>
      <w:r>
        <w:rPr>
          <w:rFonts w:eastAsia="仿宋_GB2312"/>
          <w:color w:val="auto"/>
          <w:szCs w:val="21"/>
        </w:rPr>
        <w:t>（即r</w:t>
      </w:r>
      <w:r>
        <w:rPr>
          <w:rFonts w:eastAsia="仿宋_GB2312"/>
          <w:color w:val="auto"/>
          <w:szCs w:val="21"/>
          <w:vertAlign w:val="subscript"/>
        </w:rPr>
        <w:t>1</w:t>
      </w:r>
      <w:r>
        <w:rPr>
          <w:rFonts w:eastAsia="仿宋_GB2312"/>
          <w:color w:val="auto"/>
          <w:szCs w:val="21"/>
        </w:rPr>
        <w:t>、r</w:t>
      </w:r>
      <w:r>
        <w:rPr>
          <w:rFonts w:eastAsia="仿宋_GB2312"/>
          <w:color w:val="auto"/>
          <w:szCs w:val="21"/>
          <w:vertAlign w:val="subscript"/>
        </w:rPr>
        <w:t>2</w:t>
      </w:r>
      <w:r>
        <w:rPr>
          <w:rFonts w:eastAsia="仿宋_GB2312"/>
          <w:color w:val="auto"/>
          <w:szCs w:val="21"/>
        </w:rPr>
        <w:t>为修正系数表中r的相邻容积率）时，x</w:t>
      </w:r>
      <w:r>
        <w:rPr>
          <w:rFonts w:eastAsia="仿宋_GB2312"/>
          <w:color w:val="auto"/>
          <w:szCs w:val="21"/>
          <w:vertAlign w:val="subscript"/>
        </w:rPr>
        <w:t>1</w:t>
      </w:r>
      <w:r>
        <w:rPr>
          <w:rFonts w:eastAsia="仿宋_GB2312"/>
          <w:color w:val="auto"/>
          <w:szCs w:val="21"/>
        </w:rPr>
        <w:t>、x</w:t>
      </w:r>
      <w:r>
        <w:rPr>
          <w:rFonts w:eastAsia="仿宋_GB2312"/>
          <w:color w:val="auto"/>
          <w:szCs w:val="21"/>
          <w:vertAlign w:val="subscript"/>
        </w:rPr>
        <w:t>2</w:t>
      </w:r>
      <w:r>
        <w:rPr>
          <w:rFonts w:eastAsia="仿宋_GB2312"/>
          <w:color w:val="auto"/>
          <w:szCs w:val="21"/>
        </w:rPr>
        <w:t>为r</w:t>
      </w:r>
      <w:r>
        <w:rPr>
          <w:rFonts w:eastAsia="仿宋_GB2312"/>
          <w:color w:val="auto"/>
          <w:szCs w:val="21"/>
          <w:vertAlign w:val="subscript"/>
        </w:rPr>
        <w:t>1</w:t>
      </w:r>
      <w:r>
        <w:rPr>
          <w:rFonts w:eastAsia="仿宋_GB2312"/>
          <w:color w:val="auto"/>
          <w:szCs w:val="21"/>
        </w:rPr>
        <w:t>、r</w:t>
      </w:r>
      <w:r>
        <w:rPr>
          <w:rFonts w:eastAsia="仿宋_GB2312"/>
          <w:color w:val="auto"/>
          <w:szCs w:val="21"/>
          <w:vertAlign w:val="subscript"/>
        </w:rPr>
        <w:t>2</w:t>
      </w:r>
      <w:r>
        <w:rPr>
          <w:rFonts w:eastAsia="仿宋_GB2312"/>
          <w:color w:val="auto"/>
          <w:szCs w:val="21"/>
        </w:rPr>
        <w:t>对应的容积率修正系数，容积率的修正系数：x=x</w:t>
      </w:r>
      <w:r>
        <w:rPr>
          <w:rFonts w:eastAsia="仿宋_GB2312"/>
          <w:color w:val="auto"/>
          <w:szCs w:val="21"/>
          <w:vertAlign w:val="subscript"/>
        </w:rPr>
        <w:t>1</w:t>
      </w:r>
      <w:r>
        <w:rPr>
          <w:rFonts w:eastAsia="仿宋_GB2312"/>
          <w:color w:val="auto"/>
          <w:szCs w:val="21"/>
        </w:rPr>
        <w:t>+（x</w:t>
      </w:r>
      <w:r>
        <w:rPr>
          <w:rFonts w:eastAsia="仿宋_GB2312"/>
          <w:color w:val="auto"/>
          <w:szCs w:val="21"/>
          <w:vertAlign w:val="subscript"/>
        </w:rPr>
        <w:t>2</w:t>
      </w:r>
      <w:r>
        <w:rPr>
          <w:rFonts w:eastAsia="仿宋_GB2312"/>
          <w:color w:val="auto"/>
          <w:szCs w:val="21"/>
        </w:rPr>
        <w:t>-x</w:t>
      </w:r>
      <w:r>
        <w:rPr>
          <w:rFonts w:eastAsia="仿宋_GB2312"/>
          <w:color w:val="auto"/>
          <w:szCs w:val="21"/>
          <w:vertAlign w:val="subscript"/>
        </w:rPr>
        <w:t>1</w:t>
      </w:r>
      <w:r>
        <w:rPr>
          <w:rFonts w:eastAsia="仿宋_GB2312"/>
          <w:color w:val="auto"/>
          <w:szCs w:val="21"/>
        </w:rPr>
        <w:t>）×（r-r</w:t>
      </w:r>
      <w:r>
        <w:rPr>
          <w:rFonts w:eastAsia="仿宋_GB2312"/>
          <w:color w:val="auto"/>
          <w:szCs w:val="21"/>
          <w:vertAlign w:val="subscript"/>
        </w:rPr>
        <w:t>1</w:t>
      </w:r>
      <w:r>
        <w:rPr>
          <w:rFonts w:eastAsia="仿宋_GB2312"/>
          <w:color w:val="auto"/>
          <w:szCs w:val="21"/>
        </w:rPr>
        <w:t>）/（r</w:t>
      </w:r>
      <w:r>
        <w:rPr>
          <w:rFonts w:eastAsia="仿宋_GB2312"/>
          <w:color w:val="auto"/>
          <w:szCs w:val="21"/>
          <w:vertAlign w:val="subscript"/>
        </w:rPr>
        <w:t>2</w:t>
      </w:r>
      <w:r>
        <w:rPr>
          <w:rFonts w:eastAsia="仿宋_GB2312"/>
          <w:color w:val="auto"/>
          <w:szCs w:val="21"/>
        </w:rPr>
        <w:t>-r</w:t>
      </w:r>
      <w:r>
        <w:rPr>
          <w:rFonts w:eastAsia="仿宋_GB2312"/>
          <w:color w:val="auto"/>
          <w:szCs w:val="21"/>
          <w:vertAlign w:val="subscript"/>
        </w:rPr>
        <w:t>1</w:t>
      </w:r>
      <w:r>
        <w:rPr>
          <w:rFonts w:eastAsia="仿宋_GB2312"/>
          <w:color w:val="auto"/>
          <w:szCs w:val="21"/>
        </w:rPr>
        <w:t>）</w:t>
      </w:r>
      <w:r>
        <w:rPr>
          <w:rFonts w:hint="eastAsia" w:eastAsia="仿宋_GB2312"/>
          <w:color w:val="auto"/>
          <w:szCs w:val="21"/>
          <w:lang w:eastAsia="zh-CN"/>
        </w:rPr>
        <w:t>。</w:t>
      </w:r>
    </w:p>
    <w:p>
      <w:pPr>
        <w:adjustRightInd w:val="0"/>
        <w:snapToGrid w:val="0"/>
        <w:spacing w:before="78" w:beforeLines="25" w:line="264" w:lineRule="auto"/>
        <w:ind w:firstLine="420" w:firstLineChars="200"/>
        <w:rPr>
          <w:rFonts w:hint="eastAsia" w:eastAsia="仿宋_GB2312"/>
          <w:color w:val="auto"/>
          <w:szCs w:val="21"/>
          <w:lang w:eastAsia="zh-CN"/>
        </w:rPr>
      </w:pPr>
      <w:r>
        <w:rPr>
          <w:rFonts w:hint="eastAsia" w:eastAsia="仿宋_GB2312"/>
          <w:color w:val="auto"/>
          <w:szCs w:val="21"/>
        </w:rPr>
        <w:t>③待估价宗地为商住用地等情况时，可以按比例或其他方法计算出住宅用地所占的建筑面积。此时住宅用地总地价=住宅用地楼面单价×住宅用地（所占的）建筑面积</w:t>
      </w:r>
      <w:r>
        <w:rPr>
          <w:rFonts w:hint="eastAsia" w:eastAsia="仿宋_GB2312"/>
          <w:color w:val="auto"/>
          <w:szCs w:val="21"/>
          <w:lang w:eastAsia="zh-CN"/>
        </w:rPr>
        <w:t>。</w:t>
      </w:r>
    </w:p>
    <w:p>
      <w:pPr>
        <w:adjustRightInd w:val="0"/>
        <w:snapToGrid w:val="0"/>
        <w:spacing w:before="78" w:beforeLines="25" w:line="264" w:lineRule="auto"/>
        <w:ind w:firstLine="420" w:firstLineChars="200"/>
        <w:rPr>
          <w:rFonts w:hint="eastAsia" w:eastAsia="仿宋_GB2312"/>
          <w:color w:val="auto"/>
          <w:szCs w:val="21"/>
        </w:rPr>
      </w:pPr>
      <w:r>
        <w:rPr>
          <w:rFonts w:hint="eastAsia" w:eastAsia="仿宋_GB2312"/>
          <w:color w:val="auto"/>
          <w:szCs w:val="21"/>
        </w:rPr>
        <w:t>④待估价宗地为商住用地等情况时，住宅用地部分的容积率修正系数应按综合容积率选用。</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（3）楼层分配系数</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楼层分配系数适用于已建成住宅项目计算某楼层的地价比例关系，某层或某几层地价的楼层分配系数的计算按照如下公式：</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K</w:t>
      </w:r>
      <w:r>
        <w:rPr>
          <w:rFonts w:hint="eastAsia" w:ascii="仿宋_GB2312" w:hAnsi="仿宋_GB2312" w:eastAsia="仿宋_GB2312" w:cs="仿宋_GB2312"/>
          <w:b w:val="0"/>
          <w:bCs/>
          <w:color w:val="auto"/>
          <w:sz w:val="32"/>
          <w:szCs w:val="32"/>
          <w:vertAlign w:val="subscript"/>
        </w:rPr>
        <w:t>lf</w:t>
      </w:r>
      <w:r>
        <w:rPr>
          <w:rFonts w:hint="eastAsia" w:ascii="仿宋_GB2312" w:hAnsi="仿宋_GB2312" w:eastAsia="仿宋_GB2312" w:cs="仿宋_GB2312"/>
          <w:b w:val="0"/>
          <w:bCs/>
          <w:color w:val="auto"/>
          <w:sz w:val="32"/>
          <w:szCs w:val="32"/>
        </w:rPr>
        <w:t>＝评估对象所在楼层分配系数平均值／所有楼层分配系数平均值</w:t>
      </w:r>
    </w:p>
    <w:p>
      <w:pPr>
        <w:keepNext/>
        <w:adjustRightInd w:val="0"/>
        <w:snapToGrid w:val="0"/>
        <w:spacing w:line="312" w:lineRule="auto"/>
        <w:jc w:val="center"/>
        <w:rPr>
          <w:rFonts w:eastAsia="仿宋_GB2312"/>
          <w:b/>
          <w:color w:val="auto"/>
          <w:sz w:val="24"/>
        </w:rPr>
      </w:pPr>
      <w:r>
        <w:rPr>
          <w:rFonts w:eastAsia="仿宋_GB2312"/>
          <w:b/>
          <w:color w:val="auto"/>
          <w:sz w:val="24"/>
        </w:rPr>
        <w:t>表</w:t>
      </w:r>
      <w:r>
        <w:rPr>
          <w:rFonts w:hint="eastAsia" w:eastAsia="仿宋_GB2312"/>
          <w:b/>
          <w:color w:val="auto"/>
          <w:sz w:val="24"/>
        </w:rPr>
        <w:t xml:space="preserve">4-3-10 </w:t>
      </w:r>
      <w:r>
        <w:rPr>
          <w:rFonts w:eastAsia="仿宋_GB2312"/>
          <w:b/>
          <w:color w:val="auto"/>
          <w:sz w:val="24"/>
        </w:rPr>
        <w:t>无电梯楼宇楼层分配系数</w:t>
      </w:r>
    </w:p>
    <w:tbl>
      <w:tblPr>
        <w:tblStyle w:val="88"/>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868"/>
        <w:gridCol w:w="868"/>
        <w:gridCol w:w="868"/>
        <w:gridCol w:w="868"/>
        <w:gridCol w:w="868"/>
        <w:gridCol w:w="868"/>
        <w:gridCol w:w="868"/>
        <w:gridCol w:w="869"/>
        <w:gridCol w:w="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69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楼层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1层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2层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3层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4层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5层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6层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7层</w:t>
            </w:r>
          </w:p>
        </w:tc>
        <w:tc>
          <w:tcPr>
            <w:tcW w:w="47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8层</w:t>
            </w:r>
          </w:p>
        </w:tc>
        <w:tc>
          <w:tcPr>
            <w:tcW w:w="474"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9层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698" w:type="pct"/>
            <w:shd w:val="clear" w:color="auto" w:fill="auto"/>
            <w:vAlign w:val="center"/>
          </w:tcPr>
          <w:p>
            <w:pPr>
              <w:widowControl/>
              <w:adjustRightInd w:val="0"/>
              <w:snapToGrid w:val="0"/>
              <w:spacing w:line="240" w:lineRule="auto"/>
              <w:jc w:val="center"/>
              <w:rPr>
                <w:rFonts w:eastAsia="仿宋_GB2312"/>
                <w:b/>
                <w:color w:val="auto"/>
                <w:spacing w:val="-10"/>
                <w:kern w:val="0"/>
                <w:sz w:val="24"/>
                <w:szCs w:val="21"/>
              </w:rPr>
            </w:pPr>
            <w:r>
              <w:rPr>
                <w:rFonts w:eastAsia="仿宋_GB2312"/>
                <w:b/>
                <w:color w:val="auto"/>
                <w:spacing w:val="-10"/>
                <w:kern w:val="0"/>
                <w:sz w:val="24"/>
                <w:szCs w:val="21"/>
              </w:rPr>
              <w:t>分配系数</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1.0000</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1.0381</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1.0562</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1.0534</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1.0546</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1.0392</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1.0352</w:t>
            </w:r>
          </w:p>
        </w:tc>
        <w:tc>
          <w:tcPr>
            <w:tcW w:w="478"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1.0105</w:t>
            </w:r>
          </w:p>
        </w:tc>
        <w:tc>
          <w:tcPr>
            <w:tcW w:w="474" w:type="pct"/>
            <w:shd w:val="clear" w:color="auto" w:fill="auto"/>
            <w:vAlign w:val="center"/>
          </w:tcPr>
          <w:p>
            <w:pPr>
              <w:widowControl/>
              <w:adjustRightInd w:val="0"/>
              <w:snapToGrid w:val="0"/>
              <w:spacing w:line="240" w:lineRule="auto"/>
              <w:jc w:val="center"/>
              <w:rPr>
                <w:rFonts w:eastAsia="仿宋_GB2312"/>
                <w:color w:val="auto"/>
                <w:spacing w:val="-10"/>
                <w:kern w:val="0"/>
                <w:sz w:val="24"/>
              </w:rPr>
            </w:pPr>
            <w:r>
              <w:rPr>
                <w:rFonts w:eastAsia="仿宋_GB2312"/>
                <w:color w:val="auto"/>
                <w:spacing w:val="-10"/>
                <w:sz w:val="24"/>
              </w:rPr>
              <w:t>0.9110</w:t>
            </w:r>
          </w:p>
        </w:tc>
      </w:tr>
    </w:tbl>
    <w:p>
      <w:pPr>
        <w:adjustRightInd w:val="0"/>
        <w:snapToGrid w:val="0"/>
        <w:spacing w:line="240"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顶层分配系数下调2%（有特殊设计，如复式、赠送独立平台花园、赠送阁楼等情况除外）</w:t>
      </w:r>
      <w:r>
        <w:rPr>
          <w:rFonts w:hint="eastAsia" w:eastAsia="仿宋_GB2312"/>
          <w:color w:val="auto"/>
          <w:szCs w:val="21"/>
          <w:lang w:eastAsia="zh-CN"/>
        </w:rPr>
        <w:t>。</w:t>
      </w:r>
    </w:p>
    <w:p>
      <w:pPr>
        <w:adjustRightInd w:val="0"/>
        <w:snapToGrid w:val="0"/>
        <w:spacing w:line="240" w:lineRule="auto"/>
        <w:ind w:firstLine="420" w:firstLineChars="200"/>
        <w:rPr>
          <w:rFonts w:eastAsia="仿宋_GB2312"/>
          <w:color w:val="auto"/>
          <w:szCs w:val="21"/>
        </w:rPr>
      </w:pPr>
      <w:r>
        <w:rPr>
          <w:rFonts w:hint="eastAsia" w:eastAsia="仿宋_GB2312" w:cs="宋体"/>
          <w:color w:val="auto"/>
          <w:szCs w:val="21"/>
        </w:rPr>
        <w:t>②</w:t>
      </w:r>
      <w:r>
        <w:rPr>
          <w:rFonts w:eastAsia="仿宋_GB2312"/>
          <w:color w:val="auto"/>
          <w:szCs w:val="21"/>
        </w:rPr>
        <w:t>首层带独立使用的景观庭院，某楼层赠送较大面积的独立使用的平台花园、阁楼等情况，其分配系数上调2%。</w:t>
      </w:r>
    </w:p>
    <w:p>
      <w:pPr>
        <w:adjustRightInd w:val="0"/>
        <w:snapToGrid w:val="0"/>
        <w:spacing w:line="240" w:lineRule="auto"/>
        <w:ind w:firstLine="420" w:firstLineChars="200"/>
        <w:rPr>
          <w:rFonts w:eastAsia="仿宋_GB2312"/>
          <w:color w:val="auto"/>
          <w:szCs w:val="21"/>
        </w:rPr>
      </w:pPr>
    </w:p>
    <w:p>
      <w:pPr>
        <w:keepNext/>
        <w:adjustRightInd w:val="0"/>
        <w:snapToGrid w:val="0"/>
        <w:spacing w:line="240" w:lineRule="auto"/>
        <w:jc w:val="center"/>
        <w:rPr>
          <w:rFonts w:eastAsia="仿宋_GB2312"/>
          <w:b/>
          <w:color w:val="auto"/>
          <w:sz w:val="24"/>
        </w:rPr>
      </w:pPr>
      <w:r>
        <w:rPr>
          <w:rFonts w:eastAsia="仿宋_GB2312"/>
          <w:b/>
          <w:color w:val="auto"/>
          <w:sz w:val="24"/>
        </w:rPr>
        <w:t>表</w:t>
      </w:r>
      <w:r>
        <w:rPr>
          <w:rFonts w:hint="eastAsia" w:eastAsia="仿宋_GB2312"/>
          <w:b/>
          <w:color w:val="auto"/>
          <w:sz w:val="24"/>
        </w:rPr>
        <w:t xml:space="preserve">4-3-11 </w:t>
      </w:r>
      <w:r>
        <w:rPr>
          <w:rFonts w:eastAsia="仿宋_GB2312"/>
          <w:b/>
          <w:color w:val="auto"/>
          <w:sz w:val="24"/>
        </w:rPr>
        <w:t>配电梯楼宇楼层分配系数</w:t>
      </w:r>
    </w:p>
    <w:tbl>
      <w:tblPr>
        <w:tblStyle w:val="88"/>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227"/>
        <w:gridCol w:w="1397"/>
        <w:gridCol w:w="1225"/>
        <w:gridCol w:w="1225"/>
        <w:gridCol w:w="1225"/>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bookmarkStart w:id="54" w:name="_Hlk112506798"/>
            <w:r>
              <w:rPr>
                <w:rStyle w:val="952"/>
                <w:rFonts w:eastAsia="仿宋_GB2312"/>
                <w:b/>
                <w:color w:val="auto"/>
                <w:sz w:val="22"/>
              </w:rPr>
              <w:t>楼层</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1层</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2层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3层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4层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5层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修正系数</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0.9843</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1.0000</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1.0151</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1.0296</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1.0436</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楼层</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7层</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8层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9层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修正系数</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1.0698</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1.0821</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1.0937</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1.1048</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1.1154</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楼层</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13层</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14层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15层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16层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17层</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修正系数</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1.1347</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1.1435</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1.1518</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1.1594</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1.1665</w:t>
            </w:r>
          </w:p>
        </w:tc>
        <w:tc>
          <w:tcPr>
            <w:tcW w:w="1225"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1.1731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楼层</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19层</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20层</w:t>
            </w:r>
          </w:p>
        </w:tc>
        <w:tc>
          <w:tcPr>
            <w:tcW w:w="1225" w:type="dxa"/>
            <w:shd w:val="clear" w:color="auto" w:fill="auto"/>
            <w:vAlign w:val="center"/>
          </w:tcPr>
          <w:p>
            <w:pPr>
              <w:spacing w:line="240" w:lineRule="auto"/>
              <w:jc w:val="center"/>
              <w:rPr>
                <w:rStyle w:val="952"/>
                <w:rFonts w:eastAsia="仿宋_GB2312"/>
                <w:bCs/>
                <w:color w:val="auto"/>
                <w:sz w:val="22"/>
              </w:rPr>
            </w:pPr>
          </w:p>
        </w:tc>
        <w:tc>
          <w:tcPr>
            <w:tcW w:w="1225" w:type="dxa"/>
            <w:shd w:val="clear" w:color="auto" w:fill="auto"/>
            <w:vAlign w:val="center"/>
          </w:tcPr>
          <w:p>
            <w:pPr>
              <w:spacing w:line="240" w:lineRule="auto"/>
              <w:jc w:val="center"/>
              <w:rPr>
                <w:rStyle w:val="952"/>
                <w:rFonts w:eastAsia="仿宋_GB2312"/>
                <w:bCs/>
                <w:color w:val="auto"/>
                <w:sz w:val="22"/>
              </w:rPr>
            </w:pPr>
          </w:p>
        </w:tc>
        <w:tc>
          <w:tcPr>
            <w:tcW w:w="1225" w:type="dxa"/>
            <w:shd w:val="clear" w:color="auto" w:fill="auto"/>
            <w:vAlign w:val="center"/>
          </w:tcPr>
          <w:p>
            <w:pPr>
              <w:spacing w:line="240" w:lineRule="auto"/>
              <w:jc w:val="center"/>
              <w:rPr>
                <w:rStyle w:val="952"/>
                <w:rFonts w:eastAsia="仿宋_GB2312"/>
                <w:bCs/>
                <w:color w:val="auto"/>
                <w:sz w:val="22"/>
              </w:rPr>
            </w:pPr>
          </w:p>
        </w:tc>
        <w:tc>
          <w:tcPr>
            <w:tcW w:w="1225" w:type="dxa"/>
            <w:shd w:val="clear" w:color="auto" w:fill="auto"/>
            <w:vAlign w:val="center"/>
          </w:tcPr>
          <w:p>
            <w:pPr>
              <w:spacing w:line="240" w:lineRule="auto"/>
              <w:jc w:val="center"/>
              <w:rPr>
                <w:rStyle w:val="952"/>
                <w:rFonts w:eastAsia="仿宋_GB2312"/>
                <w:bCs/>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52" w:type="dxa"/>
            <w:shd w:val="clear" w:color="auto" w:fill="auto"/>
            <w:vAlign w:val="center"/>
          </w:tcPr>
          <w:p>
            <w:pPr>
              <w:spacing w:line="240" w:lineRule="auto"/>
              <w:jc w:val="center"/>
              <w:rPr>
                <w:rStyle w:val="952"/>
                <w:rFonts w:eastAsia="仿宋_GB2312"/>
                <w:b/>
                <w:color w:val="auto"/>
                <w:sz w:val="22"/>
              </w:rPr>
            </w:pPr>
            <w:r>
              <w:rPr>
                <w:rStyle w:val="952"/>
                <w:rFonts w:eastAsia="仿宋_GB2312"/>
                <w:b/>
                <w:color w:val="auto"/>
                <w:sz w:val="22"/>
              </w:rPr>
              <w:t>修正系数</w:t>
            </w:r>
          </w:p>
        </w:tc>
        <w:tc>
          <w:tcPr>
            <w:tcW w:w="122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1.1790</w:t>
            </w:r>
          </w:p>
        </w:tc>
        <w:tc>
          <w:tcPr>
            <w:tcW w:w="1397" w:type="dxa"/>
            <w:shd w:val="clear" w:color="auto" w:fill="auto"/>
            <w:vAlign w:val="center"/>
          </w:tcPr>
          <w:p>
            <w:pPr>
              <w:spacing w:line="240" w:lineRule="auto"/>
              <w:jc w:val="center"/>
              <w:rPr>
                <w:rStyle w:val="952"/>
                <w:rFonts w:eastAsia="仿宋_GB2312"/>
                <w:bCs/>
                <w:color w:val="auto"/>
                <w:sz w:val="22"/>
              </w:rPr>
            </w:pPr>
            <w:r>
              <w:rPr>
                <w:rStyle w:val="952"/>
                <w:rFonts w:eastAsia="仿宋_GB2312"/>
                <w:bCs/>
                <w:color w:val="auto"/>
                <w:sz w:val="22"/>
              </w:rPr>
              <w:t>1.1844</w:t>
            </w:r>
          </w:p>
        </w:tc>
        <w:tc>
          <w:tcPr>
            <w:tcW w:w="1225" w:type="dxa"/>
            <w:tcBorders>
              <w:bottom w:val="single" w:color="auto" w:sz="4" w:space="0"/>
            </w:tcBorders>
            <w:shd w:val="clear" w:color="auto" w:fill="auto"/>
            <w:vAlign w:val="center"/>
          </w:tcPr>
          <w:p>
            <w:pPr>
              <w:spacing w:line="240" w:lineRule="auto"/>
              <w:jc w:val="center"/>
              <w:rPr>
                <w:rStyle w:val="952"/>
                <w:rFonts w:eastAsia="仿宋_GB2312"/>
                <w:bCs/>
                <w:color w:val="auto"/>
                <w:sz w:val="22"/>
              </w:rPr>
            </w:pPr>
          </w:p>
        </w:tc>
        <w:tc>
          <w:tcPr>
            <w:tcW w:w="1225" w:type="dxa"/>
            <w:tcBorders>
              <w:bottom w:val="single" w:color="auto" w:sz="4" w:space="0"/>
            </w:tcBorders>
            <w:shd w:val="clear" w:color="auto" w:fill="auto"/>
            <w:vAlign w:val="center"/>
          </w:tcPr>
          <w:p>
            <w:pPr>
              <w:spacing w:line="240" w:lineRule="auto"/>
              <w:jc w:val="center"/>
              <w:rPr>
                <w:rStyle w:val="952"/>
                <w:rFonts w:eastAsia="仿宋_GB2312"/>
                <w:bCs/>
                <w:color w:val="auto"/>
                <w:sz w:val="22"/>
              </w:rPr>
            </w:pPr>
          </w:p>
        </w:tc>
        <w:tc>
          <w:tcPr>
            <w:tcW w:w="1225" w:type="dxa"/>
            <w:tcBorders>
              <w:bottom w:val="single" w:color="auto" w:sz="4" w:space="0"/>
            </w:tcBorders>
            <w:shd w:val="clear" w:color="auto" w:fill="auto"/>
            <w:vAlign w:val="center"/>
          </w:tcPr>
          <w:p>
            <w:pPr>
              <w:spacing w:line="240" w:lineRule="auto"/>
              <w:jc w:val="center"/>
              <w:rPr>
                <w:rStyle w:val="952"/>
                <w:rFonts w:eastAsia="仿宋_GB2312"/>
                <w:bCs/>
                <w:color w:val="auto"/>
                <w:sz w:val="22"/>
              </w:rPr>
            </w:pPr>
          </w:p>
        </w:tc>
        <w:tc>
          <w:tcPr>
            <w:tcW w:w="1225" w:type="dxa"/>
            <w:tcBorders>
              <w:bottom w:val="single" w:color="auto" w:sz="4" w:space="0"/>
            </w:tcBorders>
            <w:shd w:val="clear" w:color="auto" w:fill="auto"/>
            <w:vAlign w:val="center"/>
          </w:tcPr>
          <w:p>
            <w:pPr>
              <w:spacing w:line="240" w:lineRule="auto"/>
              <w:jc w:val="center"/>
              <w:rPr>
                <w:rStyle w:val="952"/>
                <w:rFonts w:eastAsia="仿宋_GB2312"/>
                <w:bCs/>
                <w:color w:val="auto"/>
                <w:sz w:val="22"/>
              </w:rPr>
            </w:pPr>
          </w:p>
        </w:tc>
      </w:tr>
      <w:bookmarkEnd w:id="54"/>
    </w:tbl>
    <w:p>
      <w:pPr>
        <w:adjustRightInd w:val="0"/>
        <w:snapToGrid w:val="0"/>
        <w:spacing w:line="240"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顶层分配系数下调2%（有特殊设计，如复式、赠送独立平台花园、赠送阁楼等情况除外）</w:t>
      </w:r>
      <w:r>
        <w:rPr>
          <w:rFonts w:hint="eastAsia" w:eastAsia="仿宋_GB2312"/>
          <w:color w:val="auto"/>
          <w:szCs w:val="21"/>
          <w:lang w:eastAsia="zh-CN"/>
        </w:rPr>
        <w:t>。</w:t>
      </w:r>
    </w:p>
    <w:p>
      <w:pPr>
        <w:adjustRightInd w:val="0"/>
        <w:snapToGrid w:val="0"/>
        <w:spacing w:line="240" w:lineRule="auto"/>
        <w:ind w:firstLine="420" w:firstLineChars="200"/>
        <w:rPr>
          <w:rFonts w:eastAsia="仿宋_GB2312"/>
          <w:color w:val="auto"/>
          <w:szCs w:val="21"/>
        </w:rPr>
      </w:pPr>
      <w:r>
        <w:rPr>
          <w:rFonts w:hint="eastAsia" w:eastAsia="仿宋_GB2312" w:cs="宋体"/>
          <w:color w:val="auto"/>
          <w:szCs w:val="21"/>
        </w:rPr>
        <w:t>②</w:t>
      </w:r>
      <w:r>
        <w:rPr>
          <w:rFonts w:eastAsia="仿宋_GB2312"/>
          <w:color w:val="auto"/>
          <w:szCs w:val="21"/>
        </w:rPr>
        <w:t>首层带独立使用的景观庭院，某楼层赠送较大面积的独立使用的平台花园、阁楼等情况，其分配系数上调2%。</w:t>
      </w:r>
    </w:p>
    <w:p>
      <w:pPr>
        <w:adjustRightInd w:val="0"/>
        <w:snapToGrid w:val="0"/>
        <w:spacing w:line="240" w:lineRule="auto"/>
        <w:ind w:firstLine="420" w:firstLineChars="200"/>
        <w:rPr>
          <w:rFonts w:hint="eastAsia" w:eastAsia="仿宋_GB2312"/>
          <w:color w:val="auto"/>
          <w:szCs w:val="21"/>
        </w:rPr>
      </w:pPr>
      <w:r>
        <w:rPr>
          <w:rFonts w:hint="eastAsia" w:eastAsia="仿宋_GB2312"/>
          <w:color w:val="auto"/>
          <w:szCs w:val="21"/>
        </w:rPr>
        <w:t>③建议</w:t>
      </w:r>
      <w:r>
        <w:rPr>
          <w:rFonts w:eastAsia="仿宋_GB2312"/>
          <w:color w:val="auto"/>
          <w:szCs w:val="21"/>
        </w:rPr>
        <w:t>20层以上住宅根据第20层修正系数向下修正2-10%，所在楼层越高修正幅度越大</w:t>
      </w:r>
      <w:r>
        <w:rPr>
          <w:rFonts w:hint="eastAsia" w:eastAsia="仿宋_GB2312"/>
          <w:color w:val="auto"/>
          <w:szCs w:val="21"/>
        </w:rPr>
        <w:t>。</w:t>
      </w:r>
    </w:p>
    <w:p>
      <w:pPr>
        <w:adjustRightInd w:val="0"/>
        <w:snapToGrid w:val="0"/>
        <w:spacing w:line="240" w:lineRule="auto"/>
        <w:ind w:firstLine="420" w:firstLineChars="200"/>
        <w:rPr>
          <w:rFonts w:hint="eastAsia" w:eastAsia="仿宋_GB2312"/>
          <w:color w:val="auto"/>
          <w:szCs w:val="21"/>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（4）剩余使用年期修正</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按照土地还原率为6.00%，住宅用地法定最高出让年期为70年，计算住宅用地使用年期修正系数。剩余使用年期修正系数计算公式如下：</w:t>
      </w:r>
    </w:p>
    <w:p>
      <w:pPr>
        <w:adjustRightInd w:val="0"/>
        <w:snapToGrid w:val="0"/>
        <w:spacing w:line="312" w:lineRule="auto"/>
        <w:jc w:val="center"/>
        <w:rPr>
          <w:rFonts w:eastAsia="仿宋_GB2312"/>
          <w:i/>
          <w:color w:val="auto"/>
          <w:sz w:val="24"/>
        </w:rPr>
      </w:pPr>
      <w:r>
        <w:rPr>
          <w:rFonts w:eastAsia="仿宋_GB2312"/>
          <w:color w:val="auto"/>
          <w:position w:val="-30"/>
          <w:sz w:val="24"/>
        </w:rPr>
        <w:drawing>
          <wp:inline distT="0" distB="0" distL="0" distR="0">
            <wp:extent cx="1333500" cy="476250"/>
            <wp:effectExtent l="0" t="0" r="0" b="0"/>
            <wp:docPr id="36"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1333500" cy="476250"/>
                    </a:xfrm>
                    <a:prstGeom prst="rect">
                      <a:avLst/>
                    </a:prstGeom>
                    <a:noFill/>
                    <a:ln>
                      <a:noFill/>
                    </a:ln>
                  </pic:spPr>
                </pic:pic>
              </a:graphicData>
            </a:graphic>
          </wp:inline>
        </w:drawing>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7020" w:type="dxa"/>
        <w:tblInd w:w="1008" w:type="dxa"/>
        <w:tblLayout w:type="fixed"/>
        <w:tblCellMar>
          <w:top w:w="0" w:type="dxa"/>
          <w:left w:w="108" w:type="dxa"/>
          <w:bottom w:w="0" w:type="dxa"/>
          <w:right w:w="108" w:type="dxa"/>
        </w:tblCellMar>
      </w:tblPr>
      <w:tblGrid>
        <w:gridCol w:w="521"/>
        <w:gridCol w:w="696"/>
        <w:gridCol w:w="5803"/>
      </w:tblGrid>
      <w:tr>
        <w:tblPrEx>
          <w:tblCellMar>
            <w:top w:w="0" w:type="dxa"/>
            <w:left w:w="108" w:type="dxa"/>
            <w:bottom w:w="0" w:type="dxa"/>
            <w:right w:w="108" w:type="dxa"/>
          </w:tblCellMar>
        </w:tblPrEx>
        <w:trPr>
          <w:trHeight w:val="340" w:hRule="atLeast"/>
        </w:trPr>
        <w:tc>
          <w:tcPr>
            <w:tcW w:w="521"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96"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w:t>
            </w:r>
          </w:p>
        </w:tc>
        <w:tc>
          <w:tcPr>
            <w:tcW w:w="5803"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color w:val="auto"/>
                <w:sz w:val="24"/>
              </w:rPr>
            </w:pPr>
            <w:r>
              <w:rPr>
                <w:rFonts w:hint="eastAsia" w:eastAsia="仿宋_GB2312"/>
                <w:color w:val="auto"/>
                <w:sz w:val="24"/>
              </w:rPr>
              <w:t>剩余使用</w:t>
            </w:r>
            <w:r>
              <w:rPr>
                <w:rFonts w:eastAsia="仿宋_GB2312"/>
                <w:color w:val="auto"/>
                <w:sz w:val="24"/>
              </w:rPr>
              <w:t>年期修正系数</w:t>
            </w:r>
          </w:p>
        </w:tc>
      </w:tr>
      <w:tr>
        <w:tblPrEx>
          <w:tblCellMar>
            <w:top w:w="0" w:type="dxa"/>
            <w:left w:w="108" w:type="dxa"/>
            <w:bottom w:w="0" w:type="dxa"/>
            <w:right w:w="108" w:type="dxa"/>
          </w:tblCellMar>
        </w:tblPrEx>
        <w:trPr>
          <w:trHeight w:val="340" w:hRule="atLeast"/>
        </w:trPr>
        <w:tc>
          <w:tcPr>
            <w:tcW w:w="521"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ml</w:t>
            </w:r>
          </w:p>
        </w:tc>
        <w:tc>
          <w:tcPr>
            <w:tcW w:w="696"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w:t>
            </w:r>
          </w:p>
        </w:tc>
        <w:tc>
          <w:tcPr>
            <w:tcW w:w="5803"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color w:val="auto"/>
                <w:sz w:val="24"/>
              </w:rPr>
            </w:pPr>
            <w:r>
              <w:rPr>
                <w:rFonts w:eastAsia="仿宋_GB2312"/>
                <w:color w:val="auto"/>
                <w:sz w:val="24"/>
              </w:rPr>
              <w:t>实际使用年期</w:t>
            </w:r>
          </w:p>
        </w:tc>
      </w:tr>
      <w:tr>
        <w:tblPrEx>
          <w:tblCellMar>
            <w:top w:w="0" w:type="dxa"/>
            <w:left w:w="108" w:type="dxa"/>
            <w:bottom w:w="0" w:type="dxa"/>
            <w:right w:w="108" w:type="dxa"/>
          </w:tblCellMar>
        </w:tblPrEx>
        <w:trPr>
          <w:trHeight w:val="340" w:hRule="atLeast"/>
        </w:trPr>
        <w:tc>
          <w:tcPr>
            <w:tcW w:w="521"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m</w:t>
            </w:r>
          </w:p>
        </w:tc>
        <w:tc>
          <w:tcPr>
            <w:tcW w:w="696"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w:t>
            </w:r>
          </w:p>
        </w:tc>
        <w:tc>
          <w:tcPr>
            <w:tcW w:w="5803"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color w:val="auto"/>
                <w:sz w:val="24"/>
              </w:rPr>
            </w:pPr>
            <w:r>
              <w:rPr>
                <w:rFonts w:eastAsia="仿宋_GB2312"/>
                <w:color w:val="auto"/>
                <w:sz w:val="24"/>
              </w:rPr>
              <w:t>土地使用权法定最高出让年限</w:t>
            </w:r>
          </w:p>
        </w:tc>
      </w:tr>
      <w:tr>
        <w:tblPrEx>
          <w:tblCellMar>
            <w:top w:w="0" w:type="dxa"/>
            <w:left w:w="108" w:type="dxa"/>
            <w:bottom w:w="0" w:type="dxa"/>
            <w:right w:w="108" w:type="dxa"/>
          </w:tblCellMar>
        </w:tblPrEx>
        <w:trPr>
          <w:trHeight w:val="340" w:hRule="atLeast"/>
        </w:trPr>
        <w:tc>
          <w:tcPr>
            <w:tcW w:w="521"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r</w:t>
            </w:r>
          </w:p>
        </w:tc>
        <w:tc>
          <w:tcPr>
            <w:tcW w:w="696"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i/>
                <w:color w:val="auto"/>
                <w:sz w:val="24"/>
              </w:rPr>
            </w:pPr>
            <w:r>
              <w:rPr>
                <w:rFonts w:eastAsia="仿宋_GB2312"/>
                <w:i/>
                <w:color w:val="auto"/>
                <w:sz w:val="24"/>
              </w:rPr>
              <w:t>——</w:t>
            </w:r>
          </w:p>
        </w:tc>
        <w:tc>
          <w:tcPr>
            <w:tcW w:w="5803" w:type="dxa"/>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eastAsia="仿宋_GB2312"/>
                <w:color w:val="auto"/>
                <w:sz w:val="24"/>
              </w:rPr>
            </w:pPr>
            <w:r>
              <w:rPr>
                <w:rFonts w:eastAsia="仿宋_GB2312"/>
                <w:color w:val="auto"/>
                <w:sz w:val="24"/>
              </w:rPr>
              <w:t>土地</w:t>
            </w:r>
            <w:r>
              <w:rPr>
                <w:rFonts w:hint="eastAsia" w:eastAsia="仿宋_GB2312"/>
                <w:color w:val="auto"/>
                <w:sz w:val="24"/>
              </w:rPr>
              <w:t>还原率</w:t>
            </w:r>
          </w:p>
        </w:tc>
      </w:tr>
    </w:tbl>
    <w:p>
      <w:pPr>
        <w:keepNext/>
        <w:adjustRightInd w:val="0"/>
        <w:snapToGrid w:val="0"/>
        <w:spacing w:line="312" w:lineRule="auto"/>
        <w:jc w:val="center"/>
        <w:rPr>
          <w:rFonts w:eastAsia="仿宋_GB2312"/>
          <w:b/>
          <w:color w:val="auto"/>
          <w:sz w:val="24"/>
        </w:rPr>
      </w:pPr>
      <w:r>
        <w:rPr>
          <w:rFonts w:hint="eastAsia" w:eastAsia="仿宋_GB2312"/>
          <w:b/>
          <w:bCs/>
          <w:color w:val="auto"/>
          <w:sz w:val="24"/>
        </w:rPr>
        <w:t>表4-3-12</w:t>
      </w:r>
      <w:r>
        <w:rPr>
          <w:rFonts w:eastAsia="仿宋_GB2312"/>
          <w:b/>
          <w:color w:val="auto"/>
          <w:sz w:val="24"/>
        </w:rPr>
        <w:t xml:space="preserve">  住宅用地</w:t>
      </w:r>
      <w:r>
        <w:rPr>
          <w:rFonts w:hint="eastAsia" w:eastAsia="仿宋_GB2312"/>
          <w:b/>
          <w:color w:val="auto"/>
          <w:sz w:val="24"/>
        </w:rPr>
        <w:t>剩余</w:t>
      </w:r>
      <w:r>
        <w:rPr>
          <w:rFonts w:eastAsia="仿宋_GB2312"/>
          <w:b/>
          <w:color w:val="auto"/>
          <w:sz w:val="24"/>
        </w:rPr>
        <w:t>使用年期修正系数表</w:t>
      </w:r>
    </w:p>
    <w:tbl>
      <w:tblPr>
        <w:tblStyle w:val="88"/>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816"/>
        <w:gridCol w:w="816"/>
        <w:gridCol w:w="816"/>
        <w:gridCol w:w="816"/>
        <w:gridCol w:w="816"/>
        <w:gridCol w:w="816"/>
        <w:gridCol w:w="816"/>
        <w:gridCol w:w="816"/>
        <w:gridCol w:w="816"/>
        <w:gridCol w:w="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sz w:val="24"/>
              </w:rPr>
              <w:t>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0.0576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0.1119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0.1631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0.2115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0.2571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0.3001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0.3407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0.3790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0.4151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0.4492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0.4814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0.5117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0.5403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0.5673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0.5928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0.6168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0.6395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0.6608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0.6810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29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0.7180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0.7349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0.7509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0.7660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0.7802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0.7936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0.8063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0.8182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0.8295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39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0.8501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0.8596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0.8685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0.8769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0.8849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0.8924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0.8994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0.9061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0.9124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49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0.9239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0.9292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0.9342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0.9389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0.9433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0.9475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0.9514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0.9552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0.9587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59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0.9651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0.9681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0.9709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0.9735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0.9760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0.9783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0.9805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0.9826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0.9845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剩余年限</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64</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66</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69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rPr>
            </w:pPr>
            <w:r>
              <w:rPr>
                <w:rFonts w:eastAsia="仿宋_GB2312"/>
                <w:b/>
                <w:color w:val="auto"/>
                <w:kern w:val="0"/>
                <w:sz w:val="24"/>
              </w:rPr>
              <w:t>修正系数</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kern w:val="0"/>
                <w:sz w:val="24"/>
              </w:rPr>
            </w:pPr>
            <w:r>
              <w:rPr>
                <w:rFonts w:eastAsia="仿宋_GB2312"/>
                <w:color w:val="auto"/>
                <w:spacing w:val="-10"/>
                <w:sz w:val="24"/>
              </w:rPr>
              <w:t>0.9881</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0.9898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0.9913</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0.9928</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0.9942</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0.9955</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0.9967</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0.9979</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0.9990</w:t>
            </w:r>
          </w:p>
        </w:tc>
        <w:tc>
          <w:tcPr>
            <w:tcW w:w="45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10"/>
                <w:sz w:val="24"/>
              </w:rPr>
            </w:pPr>
            <w:r>
              <w:rPr>
                <w:rFonts w:eastAsia="仿宋_GB2312"/>
                <w:color w:val="auto"/>
                <w:spacing w:val="-10"/>
                <w:sz w:val="24"/>
              </w:rPr>
              <w:t>1.0000</w:t>
            </w:r>
          </w:p>
        </w:tc>
      </w:tr>
    </w:tbl>
    <w:p>
      <w:pPr>
        <w:adjustRightInd w:val="0"/>
        <w:snapToGrid w:val="0"/>
        <w:spacing w:line="264"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在进行宗地评估时可根据公式</w:t>
      </w:r>
      <w:r>
        <w:rPr>
          <w:rFonts w:eastAsia="仿宋_GB2312"/>
          <w:i/>
          <w:color w:val="auto"/>
          <w:szCs w:val="21"/>
        </w:rPr>
        <w:t>K</w:t>
      </w:r>
      <w:r>
        <w:rPr>
          <w:rFonts w:eastAsia="仿宋_GB2312"/>
          <w:i/>
          <w:color w:val="auto"/>
          <w:szCs w:val="21"/>
          <w:vertAlign w:val="subscript"/>
        </w:rPr>
        <w:t>y</w:t>
      </w:r>
      <w:r>
        <w:rPr>
          <w:rFonts w:eastAsia="仿宋_GB2312"/>
          <w:i/>
          <w:color w:val="auto"/>
          <w:szCs w:val="21"/>
        </w:rPr>
        <w:t>=[1－（1÷（1+ r）</w:t>
      </w:r>
      <w:r>
        <w:rPr>
          <w:rFonts w:eastAsia="仿宋_GB2312"/>
          <w:i/>
          <w:color w:val="auto"/>
          <w:szCs w:val="21"/>
          <w:vertAlign w:val="superscript"/>
        </w:rPr>
        <w:t>ml</w:t>
      </w:r>
      <w:r>
        <w:rPr>
          <w:rFonts w:eastAsia="仿宋_GB2312"/>
          <w:i/>
          <w:color w:val="auto"/>
          <w:szCs w:val="21"/>
        </w:rPr>
        <w:t>）]÷[1－[1÷（1+ r）</w:t>
      </w:r>
      <w:r>
        <w:rPr>
          <w:rFonts w:eastAsia="仿宋_GB2312"/>
          <w:i/>
          <w:color w:val="auto"/>
          <w:szCs w:val="21"/>
          <w:vertAlign w:val="superscript"/>
        </w:rPr>
        <w:t>m</w:t>
      </w:r>
      <w:r>
        <w:rPr>
          <w:rFonts w:eastAsia="仿宋_GB2312"/>
          <w:i/>
          <w:color w:val="auto"/>
          <w:szCs w:val="21"/>
        </w:rPr>
        <w:t>]</w:t>
      </w:r>
      <w:r>
        <w:rPr>
          <w:rFonts w:eastAsia="仿宋_GB2312"/>
          <w:color w:val="auto"/>
          <w:szCs w:val="21"/>
        </w:rPr>
        <w:t>直接计算</w:t>
      </w:r>
      <w:r>
        <w:rPr>
          <w:rFonts w:hint="eastAsia" w:eastAsia="仿宋_GB2312"/>
          <w:color w:val="auto"/>
          <w:szCs w:val="21"/>
          <w:lang w:eastAsia="zh-CN"/>
        </w:rPr>
        <w:t>。</w:t>
      </w:r>
    </w:p>
    <w:p>
      <w:pPr>
        <w:adjustRightInd w:val="0"/>
        <w:snapToGrid w:val="0"/>
        <w:spacing w:line="264" w:lineRule="auto"/>
        <w:ind w:firstLine="420" w:firstLineChars="200"/>
        <w:rPr>
          <w:rFonts w:eastAsia="仿宋_GB2312"/>
          <w:color w:val="auto"/>
          <w:szCs w:val="21"/>
        </w:rPr>
      </w:pPr>
      <w:r>
        <w:rPr>
          <w:rFonts w:hint="eastAsia" w:eastAsia="仿宋_GB2312" w:cs="宋体"/>
          <w:color w:val="auto"/>
          <w:szCs w:val="21"/>
        </w:rPr>
        <w:t>②表中为住宅用地还原率取6.00％条件下的年期修正系数</w:t>
      </w:r>
      <w:r>
        <w:rPr>
          <w:rFonts w:eastAsia="仿宋_GB2312"/>
          <w:color w:val="auto"/>
          <w:szCs w:val="21"/>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（5）个别因素修正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影响住宅用地宗地地价的个别因素较多，如容积率、临路条件、形状、面积、地势、地质、日照、采光、通风、朝向、使用年限等。经过筛选并征询当地专家的有关意见，选取对宗地地价影响幅度较大的个别因素，并以此对样点地价进行整理、分析、剔除、标准化，分析个别因素对宗地地价的影响规律。根据宗地地价与影响因素关系的分析，编制影响宗地地价个别因素修正系数表，说明某因素在一定条件下的修正幅度及其描述与说明。</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①临路条件修正</w:t>
      </w:r>
    </w:p>
    <w:p>
      <w:pPr>
        <w:adjustRightInd w:val="0"/>
        <w:snapToGrid w:val="0"/>
        <w:spacing w:line="312" w:lineRule="auto"/>
        <w:ind w:firstLine="481" w:firstLineChars="200"/>
        <w:jc w:val="center"/>
        <w:rPr>
          <w:rFonts w:hint="eastAsia" w:eastAsia="仿宋_GB2312"/>
          <w:b/>
          <w:bCs/>
          <w:color w:val="auto"/>
          <w:sz w:val="24"/>
        </w:rPr>
      </w:pPr>
    </w:p>
    <w:p>
      <w:pPr>
        <w:adjustRightInd w:val="0"/>
        <w:snapToGrid w:val="0"/>
        <w:spacing w:line="312" w:lineRule="auto"/>
        <w:jc w:val="center"/>
        <w:rPr>
          <w:rFonts w:eastAsia="仿宋_GB2312"/>
          <w:b/>
          <w:color w:val="auto"/>
          <w:sz w:val="24"/>
        </w:rPr>
      </w:pPr>
      <w:r>
        <w:rPr>
          <w:rFonts w:hint="eastAsia" w:eastAsia="仿宋_GB2312"/>
          <w:b/>
          <w:bCs/>
          <w:color w:val="auto"/>
          <w:sz w:val="24"/>
        </w:rPr>
        <w:t xml:space="preserve">表4-3-13  </w:t>
      </w:r>
      <w:r>
        <w:rPr>
          <w:rFonts w:eastAsia="仿宋_GB2312"/>
          <w:b/>
          <w:color w:val="auto"/>
          <w:sz w:val="24"/>
        </w:rPr>
        <w:t>临路条件修正系数表</w:t>
      </w:r>
    </w:p>
    <w:tbl>
      <w:tblPr>
        <w:tblStyle w:val="88"/>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2253"/>
        <w:gridCol w:w="2109"/>
        <w:gridCol w:w="1702"/>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0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临路条件</w:t>
            </w:r>
          </w:p>
        </w:tc>
        <w:tc>
          <w:tcPr>
            <w:tcW w:w="1249"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临生活型道路</w:t>
            </w:r>
          </w:p>
        </w:tc>
        <w:tc>
          <w:tcPr>
            <w:tcW w:w="1169" w:type="pct"/>
            <w:vAlign w:val="center"/>
          </w:tcPr>
          <w:p>
            <w:pPr>
              <w:adjustRightInd w:val="0"/>
              <w:snapToGrid w:val="0"/>
              <w:spacing w:line="240" w:lineRule="auto"/>
              <w:jc w:val="center"/>
              <w:rPr>
                <w:rFonts w:eastAsia="仿宋_GB2312"/>
                <w:b/>
                <w:bCs/>
                <w:color w:val="auto"/>
                <w:spacing w:val="-10"/>
                <w:kern w:val="0"/>
                <w:sz w:val="24"/>
                <w:szCs w:val="21"/>
              </w:rPr>
            </w:pPr>
            <w:r>
              <w:rPr>
                <w:rFonts w:eastAsia="仿宋_GB2312"/>
                <w:b/>
                <w:bCs/>
                <w:color w:val="auto"/>
                <w:spacing w:val="-10"/>
                <w:kern w:val="0"/>
                <w:sz w:val="24"/>
                <w:szCs w:val="21"/>
              </w:rPr>
              <w:t>临步行街、商业街</w:t>
            </w:r>
          </w:p>
        </w:tc>
        <w:tc>
          <w:tcPr>
            <w:tcW w:w="94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临混合型道路</w:t>
            </w:r>
          </w:p>
        </w:tc>
        <w:tc>
          <w:tcPr>
            <w:tcW w:w="93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临交通型道路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0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修正系数</w:t>
            </w:r>
          </w:p>
        </w:tc>
        <w:tc>
          <w:tcPr>
            <w:tcW w:w="1249"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1.10~1.25</w:t>
            </w:r>
          </w:p>
        </w:tc>
        <w:tc>
          <w:tcPr>
            <w:tcW w:w="1169"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1.05~1.15</w:t>
            </w:r>
          </w:p>
        </w:tc>
        <w:tc>
          <w:tcPr>
            <w:tcW w:w="943"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1.04~1.07</w:t>
            </w:r>
          </w:p>
        </w:tc>
        <w:tc>
          <w:tcPr>
            <w:tcW w:w="933" w:type="pct"/>
            <w:tcBorders>
              <w:bottom w:val="single" w:color="auto" w:sz="4" w:space="0"/>
            </w:tcBorders>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0.98~1.03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0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临路条件</w:t>
            </w:r>
          </w:p>
        </w:tc>
        <w:tc>
          <w:tcPr>
            <w:tcW w:w="1249" w:type="pct"/>
            <w:vAlign w:val="center"/>
          </w:tcPr>
          <w:p>
            <w:pPr>
              <w:adjustRightInd w:val="0"/>
              <w:snapToGrid w:val="0"/>
              <w:spacing w:line="240" w:lineRule="auto"/>
              <w:jc w:val="center"/>
              <w:rPr>
                <w:rFonts w:eastAsia="仿宋_GB2312"/>
                <w:color w:val="auto"/>
                <w:kern w:val="0"/>
                <w:sz w:val="24"/>
                <w:szCs w:val="21"/>
              </w:rPr>
            </w:pPr>
            <w:r>
              <w:rPr>
                <w:rFonts w:eastAsia="仿宋_GB2312"/>
                <w:b/>
                <w:bCs/>
                <w:color w:val="auto"/>
                <w:kern w:val="0"/>
                <w:sz w:val="24"/>
                <w:szCs w:val="21"/>
              </w:rPr>
              <w:t>临支路、小区道路</w:t>
            </w:r>
          </w:p>
        </w:tc>
        <w:tc>
          <w:tcPr>
            <w:tcW w:w="1169" w:type="pct"/>
            <w:vAlign w:val="center"/>
          </w:tcPr>
          <w:p>
            <w:pPr>
              <w:adjustRightInd w:val="0"/>
              <w:snapToGrid w:val="0"/>
              <w:spacing w:line="240" w:lineRule="auto"/>
              <w:jc w:val="center"/>
              <w:rPr>
                <w:rFonts w:eastAsia="仿宋_GB2312"/>
                <w:color w:val="auto"/>
                <w:kern w:val="0"/>
                <w:sz w:val="24"/>
                <w:szCs w:val="21"/>
              </w:rPr>
            </w:pPr>
            <w:r>
              <w:rPr>
                <w:rFonts w:eastAsia="仿宋_GB2312"/>
                <w:b/>
                <w:bCs/>
                <w:color w:val="auto"/>
                <w:spacing w:val="-10"/>
                <w:kern w:val="0"/>
                <w:sz w:val="24"/>
                <w:szCs w:val="21"/>
              </w:rPr>
              <w:t>临老街、小巷</w:t>
            </w:r>
          </w:p>
        </w:tc>
        <w:tc>
          <w:tcPr>
            <w:tcW w:w="943" w:type="pct"/>
            <w:vAlign w:val="center"/>
          </w:tcPr>
          <w:p>
            <w:pPr>
              <w:adjustRightInd w:val="0"/>
              <w:snapToGrid w:val="0"/>
              <w:spacing w:line="240" w:lineRule="auto"/>
              <w:jc w:val="center"/>
              <w:rPr>
                <w:rFonts w:eastAsia="仿宋_GB2312"/>
                <w:color w:val="auto"/>
                <w:kern w:val="0"/>
                <w:sz w:val="24"/>
                <w:szCs w:val="21"/>
              </w:rPr>
            </w:pPr>
            <w:r>
              <w:rPr>
                <w:rFonts w:eastAsia="仿宋_GB2312"/>
                <w:b/>
                <w:bCs/>
                <w:color w:val="auto"/>
                <w:kern w:val="0"/>
                <w:sz w:val="24"/>
                <w:szCs w:val="21"/>
              </w:rPr>
              <w:t>不临路</w:t>
            </w:r>
          </w:p>
        </w:tc>
        <w:tc>
          <w:tcPr>
            <w:tcW w:w="933" w:type="pct"/>
            <w:vMerge w:val="restart"/>
            <w:tcBorders>
              <w:tl2br w:val="single" w:color="auto" w:sz="4" w:space="0"/>
            </w:tcBorders>
            <w:vAlign w:val="center"/>
          </w:tcPr>
          <w:p>
            <w:pPr>
              <w:adjustRightInd w:val="0"/>
              <w:snapToGrid w:val="0"/>
              <w:spacing w:line="240" w:lineRule="auto"/>
              <w:jc w:val="center"/>
              <w:rPr>
                <w:rFonts w:eastAsia="仿宋_GB2312"/>
                <w:color w:val="auto"/>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03" w:type="pct"/>
            <w:vAlign w:val="center"/>
          </w:tcPr>
          <w:p>
            <w:pPr>
              <w:adjustRightInd w:val="0"/>
              <w:snapToGrid w:val="0"/>
              <w:spacing w:line="240" w:lineRule="auto"/>
              <w:jc w:val="center"/>
              <w:rPr>
                <w:rFonts w:eastAsia="仿宋_GB2312"/>
                <w:b/>
                <w:bCs/>
                <w:color w:val="auto"/>
                <w:kern w:val="0"/>
                <w:sz w:val="24"/>
                <w:szCs w:val="21"/>
              </w:rPr>
            </w:pPr>
            <w:r>
              <w:rPr>
                <w:rFonts w:eastAsia="仿宋_GB2312"/>
                <w:b/>
                <w:bCs/>
                <w:color w:val="auto"/>
                <w:kern w:val="0"/>
                <w:sz w:val="24"/>
                <w:szCs w:val="21"/>
              </w:rPr>
              <w:t>修正系数</w:t>
            </w:r>
          </w:p>
        </w:tc>
        <w:tc>
          <w:tcPr>
            <w:tcW w:w="1249"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1.00</w:t>
            </w:r>
          </w:p>
        </w:tc>
        <w:tc>
          <w:tcPr>
            <w:tcW w:w="1169"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0.9~1.0</w:t>
            </w:r>
          </w:p>
        </w:tc>
        <w:tc>
          <w:tcPr>
            <w:tcW w:w="943" w:type="pct"/>
            <w:vAlign w:val="center"/>
          </w:tcPr>
          <w:p>
            <w:pPr>
              <w:adjustRightInd w:val="0"/>
              <w:snapToGrid w:val="0"/>
              <w:spacing w:line="240" w:lineRule="auto"/>
              <w:jc w:val="center"/>
              <w:rPr>
                <w:rFonts w:eastAsia="仿宋_GB2312"/>
                <w:color w:val="auto"/>
                <w:kern w:val="0"/>
                <w:sz w:val="24"/>
                <w:szCs w:val="21"/>
              </w:rPr>
            </w:pPr>
            <w:r>
              <w:rPr>
                <w:rFonts w:eastAsia="仿宋_GB2312"/>
                <w:color w:val="auto"/>
                <w:kern w:val="0"/>
                <w:sz w:val="24"/>
                <w:szCs w:val="21"/>
              </w:rPr>
              <w:t>0.85~0.90</w:t>
            </w:r>
          </w:p>
        </w:tc>
        <w:tc>
          <w:tcPr>
            <w:tcW w:w="933" w:type="pct"/>
            <w:vMerge w:val="continue"/>
            <w:tcBorders>
              <w:tl2br w:val="single" w:color="auto" w:sz="4" w:space="0"/>
            </w:tcBorders>
            <w:vAlign w:val="center"/>
          </w:tcPr>
          <w:p>
            <w:pPr>
              <w:adjustRightInd w:val="0"/>
              <w:snapToGrid w:val="0"/>
              <w:spacing w:line="240" w:lineRule="auto"/>
              <w:jc w:val="center"/>
              <w:rPr>
                <w:rFonts w:eastAsia="仿宋_GB2312"/>
                <w:color w:val="auto"/>
                <w:kern w:val="0"/>
                <w:sz w:val="24"/>
                <w:szCs w:val="21"/>
              </w:rPr>
            </w:pP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②其他个别因素修正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其他个别因素修正系数（Kg）的计算公式为：</w:t>
      </w:r>
    </w:p>
    <w:p>
      <w:pPr>
        <w:adjustRightInd w:val="0"/>
        <w:snapToGrid w:val="0"/>
        <w:spacing w:line="312" w:lineRule="auto"/>
        <w:jc w:val="center"/>
        <w:textAlignment w:val="baseline"/>
        <w:rPr>
          <w:rFonts w:eastAsia="仿宋_GB2312"/>
          <w:b/>
          <w:i/>
          <w:color w:val="auto"/>
          <w:kern w:val="28"/>
          <w:sz w:val="28"/>
          <w:szCs w:val="28"/>
        </w:rPr>
      </w:pPr>
      <w:r>
        <w:rPr>
          <w:rFonts w:eastAsia="仿宋_GB2312"/>
          <w:b/>
          <w:i/>
          <w:color w:val="auto"/>
          <w:kern w:val="28"/>
          <w:sz w:val="28"/>
          <w:szCs w:val="28"/>
        </w:rPr>
        <w:t>K</w:t>
      </w:r>
      <w:r>
        <w:rPr>
          <w:rFonts w:eastAsia="仿宋_GB2312"/>
          <w:b/>
          <w:i/>
          <w:color w:val="auto"/>
          <w:sz w:val="28"/>
          <w:szCs w:val="28"/>
          <w:vertAlign w:val="subscript"/>
        </w:rPr>
        <w:t>g</w:t>
      </w:r>
      <w:r>
        <w:rPr>
          <w:rFonts w:eastAsia="仿宋_GB2312"/>
          <w:b/>
          <w:i/>
          <w:color w:val="auto"/>
          <w:kern w:val="28"/>
          <w:sz w:val="28"/>
          <w:szCs w:val="28"/>
        </w:rPr>
        <w:t>=</w:t>
      </w:r>
      <w:r>
        <w:rPr>
          <w:rFonts w:eastAsia="仿宋_GB2312"/>
          <w:i/>
          <w:color w:val="auto"/>
          <w:kern w:val="28"/>
          <w:sz w:val="28"/>
          <w:szCs w:val="28"/>
        </w:rPr>
        <w:t>∏</w:t>
      </w:r>
      <w:r>
        <w:rPr>
          <w:rFonts w:eastAsia="仿宋_GB2312"/>
          <w:b/>
          <w:i/>
          <w:color w:val="auto"/>
          <w:kern w:val="28"/>
          <w:sz w:val="28"/>
          <w:szCs w:val="28"/>
        </w:rPr>
        <w:t>（1+K</w:t>
      </w:r>
      <w:r>
        <w:rPr>
          <w:rFonts w:eastAsia="仿宋_GB2312"/>
          <w:b/>
          <w:i/>
          <w:color w:val="auto"/>
          <w:sz w:val="28"/>
          <w:szCs w:val="28"/>
          <w:vertAlign w:val="subscript"/>
        </w:rPr>
        <w:t>gi</w:t>
      </w:r>
      <w:r>
        <w:rPr>
          <w:rFonts w:eastAsia="仿宋_GB2312"/>
          <w:b/>
          <w:i/>
          <w:color w:val="auto"/>
          <w:kern w:val="28"/>
          <w:sz w:val="28"/>
          <w:szCs w:val="28"/>
        </w:rPr>
        <w:t>）</w:t>
      </w:r>
    </w:p>
    <w:p>
      <w:pPr>
        <w:adjustRightInd w:val="0"/>
        <w:snapToGrid w:val="0"/>
        <w:spacing w:line="312" w:lineRule="auto"/>
        <w:jc w:val="center"/>
        <w:textAlignment w:val="baseline"/>
        <w:rPr>
          <w:rFonts w:eastAsia="仿宋_GB2312"/>
          <w:b/>
          <w:i/>
          <w:color w:val="auto"/>
          <w:kern w:val="28"/>
          <w:sz w:val="28"/>
          <w:szCs w:val="28"/>
        </w:rPr>
      </w:pPr>
    </w:p>
    <w:p>
      <w:pPr>
        <w:adjustRightInd w:val="0"/>
        <w:snapToGrid w:val="0"/>
        <w:spacing w:line="312" w:lineRule="auto"/>
        <w:jc w:val="center"/>
        <w:textAlignment w:val="baseline"/>
        <w:rPr>
          <w:rFonts w:eastAsia="仿宋_GB2312"/>
          <w:b/>
          <w:i/>
          <w:color w:val="auto"/>
          <w:kern w:val="28"/>
          <w:sz w:val="28"/>
          <w:szCs w:val="28"/>
        </w:rPr>
      </w:pPr>
    </w:p>
    <w:p>
      <w:pPr>
        <w:adjustRightInd w:val="0"/>
        <w:snapToGrid w:val="0"/>
        <w:spacing w:line="312" w:lineRule="auto"/>
        <w:jc w:val="center"/>
        <w:textAlignment w:val="baseline"/>
        <w:rPr>
          <w:rFonts w:eastAsia="仿宋_GB2312"/>
          <w:b/>
          <w:i/>
          <w:color w:val="auto"/>
          <w:kern w:val="28"/>
          <w:sz w:val="28"/>
          <w:szCs w:val="28"/>
        </w:rPr>
      </w:pPr>
    </w:p>
    <w:p>
      <w:pPr>
        <w:adjustRightInd w:val="0"/>
        <w:snapToGrid w:val="0"/>
        <w:spacing w:line="312" w:lineRule="auto"/>
        <w:jc w:val="center"/>
        <w:textAlignment w:val="baseline"/>
        <w:rPr>
          <w:rFonts w:eastAsia="仿宋_GB2312"/>
          <w:b/>
          <w:i/>
          <w:color w:val="auto"/>
          <w:kern w:val="28"/>
          <w:sz w:val="28"/>
          <w:szCs w:val="28"/>
        </w:rPr>
      </w:pPr>
    </w:p>
    <w:p>
      <w:pPr>
        <w:keepNext/>
        <w:keepLines w:val="0"/>
        <w:pageBreakBefore w:val="0"/>
        <w:widowControl w:val="0"/>
        <w:kinsoku/>
        <w:wordWrap/>
        <w:overflowPunct/>
        <w:topLinePunct w:val="0"/>
        <w:autoSpaceDE/>
        <w:autoSpaceDN/>
        <w:bidi w:val="0"/>
        <w:adjustRightInd w:val="0"/>
        <w:snapToGrid w:val="0"/>
        <w:spacing w:line="312" w:lineRule="auto"/>
        <w:jc w:val="center"/>
        <w:textAlignment w:val="auto"/>
        <w:rPr>
          <w:rFonts w:eastAsia="仿宋_GB2312"/>
          <w:b/>
          <w:color w:val="auto"/>
          <w:sz w:val="24"/>
        </w:rPr>
      </w:pPr>
      <w:r>
        <w:rPr>
          <w:rFonts w:hint="eastAsia" w:eastAsia="仿宋_GB2312"/>
          <w:b/>
          <w:bCs/>
          <w:color w:val="auto"/>
          <w:sz w:val="24"/>
        </w:rPr>
        <w:t xml:space="preserve">表4-3-14  </w:t>
      </w:r>
      <w:r>
        <w:rPr>
          <w:rFonts w:eastAsia="仿宋_GB2312"/>
          <w:b/>
          <w:color w:val="auto"/>
          <w:sz w:val="24"/>
        </w:rPr>
        <w:t>住宅用地其他个别因素修正系数表</w:t>
      </w:r>
    </w:p>
    <w:tbl>
      <w:tblPr>
        <w:tblStyle w:val="88"/>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7"/>
        <w:gridCol w:w="1435"/>
        <w:gridCol w:w="1431"/>
        <w:gridCol w:w="1579"/>
        <w:gridCol w:w="1631"/>
        <w:gridCol w:w="1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blHeader/>
          <w:jc w:val="center"/>
        </w:trPr>
        <w:tc>
          <w:tcPr>
            <w:tcW w:w="764" w:type="pc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b/>
                <w:bCs/>
                <w:color w:val="auto"/>
                <w:sz w:val="24"/>
              </w:rPr>
            </w:pPr>
            <w:r>
              <w:rPr>
                <w:rFonts w:eastAsia="仿宋_GB2312"/>
                <w:b/>
                <w:bCs/>
                <w:color w:val="auto"/>
                <w:sz w:val="24"/>
              </w:rPr>
              <w:t>优劣度</w:t>
            </w:r>
          </w:p>
          <w:p>
            <w:pPr>
              <w:adjustRightInd w:val="0"/>
              <w:snapToGrid w:val="0"/>
              <w:spacing w:line="240" w:lineRule="auto"/>
              <w:rPr>
                <w:rFonts w:eastAsia="仿宋_GB2312"/>
                <w:b/>
                <w:bCs/>
                <w:color w:val="auto"/>
                <w:kern w:val="0"/>
                <w:sz w:val="24"/>
              </w:rPr>
            </w:pPr>
            <w:r>
              <w:rPr>
                <w:rFonts w:eastAsia="仿宋_GB2312"/>
                <w:b/>
                <w:bCs/>
                <w:color w:val="auto"/>
                <w:sz w:val="24"/>
              </w:rPr>
              <w:t>因素</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优</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较优</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一般</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较劣</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7"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宗地面积</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面积适中，对土地利用极为有利</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hint="eastAsia" w:eastAsia="仿宋_GB2312"/>
                <w:color w:val="auto"/>
                <w:sz w:val="24"/>
              </w:rPr>
              <w:t>面积对土地利用较为有利</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面积对土地利用无不良影响</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面积较小，对土地利用有一定影响</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面积过小，对土地利用产生严重影响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宗地形状</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形状规则，对土地利用合理</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形状较规则，土地利用较为合理</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形状一般，土地利用无不良影响</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形状不规则，对土地利用不合理</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形状不规则，对土地利用产生严重影响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宗地地势</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地势平坦；承载力强</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地势较平坦，坡度&lt;2%，对建筑无影响；承载力强</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地势较平坦，坡度&lt;5%，对建筑影响较小；承载力较强</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地势不太平坦，需考虑坡度的影响；承载力一般</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地势很不平坦，需经过平整才能使用；承载力差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78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c>
          <w:tcPr>
            <w:tcW w:w="78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86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w:t>
            </w:r>
          </w:p>
        </w:tc>
        <w:tc>
          <w:tcPr>
            <w:tcW w:w="89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909"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（6）土地开发程度修正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住宅用地基准地价为“五通一平（宗地红线外通路、通电、通上水、通下水、通讯，宗地红线内场地平整）”土地开发程度下的熟地价格。当运用基准地价法进行宗地评估时，若宗地未达到或超过基准地价设定开发程度时，应酌情扣除或增加相应开发费用。</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adjustRightInd w:val="0"/>
        <w:snapToGrid w:val="0"/>
        <w:spacing w:line="312" w:lineRule="auto"/>
        <w:ind w:firstLine="481" w:firstLineChars="200"/>
        <w:jc w:val="center"/>
        <w:rPr>
          <w:rFonts w:eastAsia="仿宋_GB2312"/>
          <w:b/>
          <w:color w:val="auto"/>
          <w:sz w:val="24"/>
        </w:rPr>
      </w:pPr>
      <w:r>
        <w:rPr>
          <w:rFonts w:hint="eastAsia" w:eastAsia="仿宋_GB2312"/>
          <w:b/>
          <w:bCs/>
          <w:color w:val="auto"/>
          <w:sz w:val="24"/>
        </w:rPr>
        <w:t xml:space="preserve">表4-3-15  </w:t>
      </w:r>
      <w:r>
        <w:rPr>
          <w:rFonts w:eastAsia="仿宋_GB2312"/>
          <w:b/>
          <w:color w:val="auto"/>
          <w:sz w:val="24"/>
        </w:rPr>
        <w:t>土地开发程度修正值表</w:t>
      </w:r>
    </w:p>
    <w:p>
      <w:pPr>
        <w:adjustRightInd w:val="0"/>
        <w:snapToGrid w:val="0"/>
        <w:jc w:val="right"/>
        <w:rPr>
          <w:rFonts w:eastAsia="仿宋_GB2312"/>
          <w:color w:val="auto"/>
        </w:rPr>
      </w:pPr>
      <w:r>
        <w:rPr>
          <w:rFonts w:eastAsia="仿宋_GB2312"/>
          <w:color w:val="auto"/>
        </w:rPr>
        <w:t>单位：元/平方米</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1768"/>
        <w:gridCol w:w="1782"/>
        <w:gridCol w:w="1866"/>
        <w:gridCol w:w="1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通路</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通电</w:t>
            </w:r>
          </w:p>
        </w:tc>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通上水</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30~70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30~50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20~30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通讯</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通燃气</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场地平整</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10~20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w:t>
            </w:r>
            <w:r>
              <w:rPr>
                <w:rFonts w:hint="eastAsia" w:eastAsia="仿宋_GB2312"/>
                <w:color w:val="auto"/>
                <w:kern w:val="0"/>
                <w:sz w:val="24"/>
              </w:rPr>
              <w:t>100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140~</w:t>
            </w:r>
            <w:r>
              <w:rPr>
                <w:rFonts w:hint="eastAsia" w:eastAsia="仿宋_GB2312"/>
                <w:color w:val="auto"/>
                <w:kern w:val="0"/>
                <w:sz w:val="24"/>
              </w:rPr>
              <w:t>330</w:t>
            </w:r>
          </w:p>
        </w:tc>
      </w:tr>
    </w:tbl>
    <w:p>
      <w:pPr>
        <w:adjustRightInd w:val="0"/>
        <w:snapToGrid w:val="0"/>
        <w:spacing w:before="78" w:beforeLines="25" w:line="300" w:lineRule="auto"/>
        <w:ind w:firstLine="420" w:firstLineChars="200"/>
        <w:rPr>
          <w:rFonts w:hint="eastAsia" w:eastAsia="仿宋_GB2312"/>
          <w:color w:val="auto"/>
          <w:szCs w:val="21"/>
          <w:lang w:eastAsia="zh-CN"/>
        </w:rPr>
      </w:pPr>
      <w:r>
        <w:rPr>
          <w:rFonts w:eastAsia="仿宋_GB2312"/>
          <w:color w:val="auto"/>
          <w:szCs w:val="21"/>
        </w:rPr>
        <w:t>注：①通路、通电、</w:t>
      </w:r>
      <w:r>
        <w:rPr>
          <w:rFonts w:hint="eastAsia" w:eastAsia="仿宋_GB2312"/>
          <w:color w:val="auto"/>
          <w:szCs w:val="21"/>
        </w:rPr>
        <w:t>通上水</w:t>
      </w:r>
      <w:r>
        <w:rPr>
          <w:rFonts w:eastAsia="仿宋_GB2312"/>
          <w:color w:val="auto"/>
          <w:szCs w:val="21"/>
        </w:rPr>
        <w:t>、</w:t>
      </w:r>
      <w:r>
        <w:rPr>
          <w:rFonts w:hint="eastAsia" w:eastAsia="仿宋_GB2312"/>
          <w:color w:val="auto"/>
          <w:szCs w:val="21"/>
        </w:rPr>
        <w:t>通下水</w:t>
      </w:r>
      <w:r>
        <w:rPr>
          <w:rFonts w:eastAsia="仿宋_GB2312"/>
          <w:color w:val="auto"/>
          <w:szCs w:val="21"/>
        </w:rPr>
        <w:t>、通讯等分项开发费用，应按主干线、次干线、分支线路等不同酌情选用上限值、中间值或下限值</w:t>
      </w:r>
      <w:r>
        <w:rPr>
          <w:rFonts w:hint="eastAsia" w:eastAsia="仿宋_GB2312"/>
          <w:color w:val="auto"/>
          <w:szCs w:val="21"/>
          <w:lang w:eastAsia="zh-CN"/>
        </w:rPr>
        <w:t>。</w:t>
      </w:r>
    </w:p>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②本表数据为每平方米土地的土地开发程度修正值，运用平均楼面地价时，应换算到每平方米建筑面积下的修正值。</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bookmarkStart w:id="55" w:name="_Toc214265660"/>
      <w:r>
        <w:rPr>
          <w:rFonts w:hint="eastAsia" w:ascii="仿宋_GB2312" w:hAnsi="仿宋_GB2312" w:eastAsia="仿宋_GB2312" w:cs="仿宋_GB2312"/>
          <w:b w:val="0"/>
          <w:bCs/>
          <w:color w:val="auto"/>
          <w:sz w:val="32"/>
          <w:szCs w:val="32"/>
        </w:rPr>
        <w:t>（四）工业用地基准地价修正体系</w:t>
      </w:r>
      <w:bookmarkEnd w:id="55"/>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结合新兴县工业用地的实际情况，主要考虑了区域因素修正、剩余使用年期修正、期日修正、个别因素修正、土地开发程度修正和其他用地类型修正。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计算公式</w:t>
      </w:r>
    </w:p>
    <w:p>
      <w:pPr>
        <w:widowControl/>
        <w:adjustRightInd w:val="0"/>
        <w:snapToGrid w:val="0"/>
        <w:spacing w:line="312" w:lineRule="auto"/>
        <w:ind w:firstLine="1867" w:firstLineChars="667"/>
        <w:jc w:val="left"/>
        <w:textAlignment w:val="baseline"/>
        <w:rPr>
          <w:rFonts w:eastAsia="仿宋_GB2312"/>
          <w:i/>
          <w:color w:val="auto"/>
          <w:kern w:val="28"/>
          <w:sz w:val="28"/>
          <w:szCs w:val="20"/>
        </w:rPr>
      </w:pPr>
      <w:r>
        <w:rPr>
          <w:rFonts w:eastAsia="仿宋_GB2312"/>
          <w:i/>
          <w:color w:val="auto"/>
          <w:kern w:val="28"/>
          <w:sz w:val="28"/>
          <w:szCs w:val="20"/>
        </w:rPr>
        <w:t>P</w:t>
      </w:r>
      <w:r>
        <w:rPr>
          <w:rFonts w:eastAsia="仿宋_GB2312"/>
          <w:i/>
          <w:color w:val="auto"/>
          <w:kern w:val="28"/>
          <w:sz w:val="28"/>
          <w:szCs w:val="20"/>
          <w:vertAlign w:val="subscript"/>
        </w:rPr>
        <w:t>宗</w:t>
      </w:r>
      <w:r>
        <w:rPr>
          <w:rFonts w:eastAsia="仿宋_GB2312"/>
          <w:i/>
          <w:color w:val="auto"/>
          <w:kern w:val="28"/>
          <w:sz w:val="28"/>
          <w:szCs w:val="20"/>
        </w:rPr>
        <w:t>＝P</w:t>
      </w:r>
      <w:r>
        <w:rPr>
          <w:rFonts w:eastAsia="仿宋_GB2312"/>
          <w:i/>
          <w:color w:val="auto"/>
          <w:kern w:val="28"/>
          <w:sz w:val="28"/>
          <w:szCs w:val="20"/>
          <w:vertAlign w:val="subscript"/>
        </w:rPr>
        <w:t>地</w:t>
      </w:r>
      <w:r>
        <w:rPr>
          <w:rFonts w:eastAsia="仿宋_GB2312"/>
          <w:i/>
          <w:color w:val="auto"/>
          <w:kern w:val="28"/>
          <w:sz w:val="28"/>
          <w:szCs w:val="28"/>
        </w:rPr>
        <w:t>×K</w:t>
      </w:r>
      <w:r>
        <w:rPr>
          <w:rFonts w:eastAsia="仿宋_GB2312"/>
          <w:i/>
          <w:color w:val="auto"/>
          <w:kern w:val="28"/>
          <w:sz w:val="28"/>
          <w:szCs w:val="28"/>
          <w:vertAlign w:val="subscript"/>
        </w:rPr>
        <w:t>t</w:t>
      </w:r>
      <w:r>
        <w:rPr>
          <w:rFonts w:eastAsia="仿宋_GB2312"/>
          <w:i/>
          <w:color w:val="auto"/>
          <w:kern w:val="28"/>
          <w:sz w:val="28"/>
          <w:szCs w:val="20"/>
        </w:rPr>
        <w:t>×（1+∑K</w:t>
      </w:r>
      <w:r>
        <w:rPr>
          <w:rFonts w:eastAsia="仿宋_GB2312"/>
          <w:i/>
          <w:color w:val="auto"/>
          <w:kern w:val="28"/>
          <w:sz w:val="28"/>
          <w:szCs w:val="20"/>
          <w:vertAlign w:val="subscript"/>
        </w:rPr>
        <w:t>i</w:t>
      </w:r>
      <w:r>
        <w:rPr>
          <w:rFonts w:eastAsia="仿宋_GB2312"/>
          <w:i/>
          <w:color w:val="auto"/>
          <w:kern w:val="28"/>
          <w:sz w:val="28"/>
          <w:szCs w:val="20"/>
        </w:rPr>
        <w:t>）×K</w:t>
      </w:r>
      <w:r>
        <w:rPr>
          <w:rFonts w:eastAsia="仿宋_GB2312"/>
          <w:i/>
          <w:color w:val="auto"/>
          <w:kern w:val="28"/>
          <w:sz w:val="28"/>
          <w:szCs w:val="20"/>
          <w:vertAlign w:val="subscript"/>
        </w:rPr>
        <w:t>y</w:t>
      </w:r>
      <w:r>
        <w:rPr>
          <w:rFonts w:eastAsia="仿宋_GB2312"/>
          <w:i/>
          <w:color w:val="auto"/>
          <w:kern w:val="28"/>
          <w:sz w:val="28"/>
          <w:szCs w:val="20"/>
        </w:rPr>
        <w:t>×K</w:t>
      </w:r>
      <w:r>
        <w:rPr>
          <w:rFonts w:eastAsia="仿宋_GB2312"/>
          <w:i/>
          <w:color w:val="auto"/>
          <w:kern w:val="28"/>
          <w:sz w:val="28"/>
          <w:szCs w:val="20"/>
          <w:vertAlign w:val="subscript"/>
        </w:rPr>
        <w:t>q</w:t>
      </w:r>
      <w:r>
        <w:rPr>
          <w:rFonts w:eastAsia="仿宋_GB2312"/>
          <w:i/>
          <w:color w:val="auto"/>
          <w:kern w:val="28"/>
          <w:sz w:val="28"/>
          <w:szCs w:val="20"/>
        </w:rPr>
        <w:t>×K</w:t>
      </w:r>
      <w:r>
        <w:rPr>
          <w:rFonts w:eastAsia="仿宋_GB2312"/>
          <w:i/>
          <w:color w:val="auto"/>
          <w:kern w:val="28"/>
          <w:sz w:val="28"/>
          <w:szCs w:val="20"/>
          <w:vertAlign w:val="subscript"/>
        </w:rPr>
        <w:t>g</w:t>
      </w:r>
      <w:r>
        <w:rPr>
          <w:rFonts w:eastAsia="仿宋_GB2312"/>
          <w:i/>
          <w:color w:val="auto"/>
          <w:kern w:val="28"/>
          <w:sz w:val="24"/>
          <w:szCs w:val="20"/>
        </w:rPr>
        <w:t xml:space="preserve">± </w:t>
      </w:r>
      <w:r>
        <w:rPr>
          <w:rFonts w:eastAsia="仿宋_GB2312"/>
          <w:i/>
          <w:color w:val="auto"/>
          <w:kern w:val="28"/>
          <w:sz w:val="28"/>
          <w:szCs w:val="20"/>
        </w:rPr>
        <w:t>D</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7356" w:type="dxa"/>
        <w:tblInd w:w="1008" w:type="dxa"/>
        <w:tblLayout w:type="autofit"/>
        <w:tblCellMar>
          <w:top w:w="0" w:type="dxa"/>
          <w:left w:w="108" w:type="dxa"/>
          <w:bottom w:w="0" w:type="dxa"/>
          <w:right w:w="108" w:type="dxa"/>
        </w:tblCellMar>
      </w:tblPr>
      <w:tblGrid>
        <w:gridCol w:w="720"/>
        <w:gridCol w:w="696"/>
        <w:gridCol w:w="5940"/>
      </w:tblGrid>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宗</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待估宗地地价</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地</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待估宗地所在区域的级别基准地价（地面地价）</w:t>
            </w:r>
          </w:p>
        </w:tc>
      </w:tr>
      <w:tr>
        <w:tblPrEx>
          <w:tblCellMar>
            <w:top w:w="0" w:type="dxa"/>
            <w:left w:w="108" w:type="dxa"/>
            <w:bottom w:w="0" w:type="dxa"/>
            <w:right w:w="108" w:type="dxa"/>
          </w:tblCellMar>
        </w:tblPrEx>
        <w:trPr>
          <w:trHeight w:val="340" w:hRule="atLeast"/>
        </w:trPr>
        <w:tc>
          <w:tcPr>
            <w:tcW w:w="720"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Kt</w:t>
            </w:r>
          </w:p>
        </w:tc>
        <w:tc>
          <w:tcPr>
            <w:tcW w:w="696"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40" w:type="dxa"/>
            <w:vAlign w:val="center"/>
          </w:tcPr>
          <w:p>
            <w:pPr>
              <w:widowControl/>
              <w:adjustRightInd w:val="0"/>
              <w:snapToGrid w:val="0"/>
              <w:spacing w:line="240" w:lineRule="auto"/>
              <w:ind w:firstLine="120" w:firstLineChars="50"/>
              <w:jc w:val="left"/>
              <w:rPr>
                <w:rFonts w:eastAsia="仿宋_GB2312"/>
                <w:i/>
                <w:color w:val="auto"/>
                <w:sz w:val="24"/>
              </w:rPr>
            </w:pPr>
            <w:r>
              <w:rPr>
                <w:rFonts w:eastAsia="仿宋_GB2312"/>
                <w:color w:val="auto"/>
                <w:sz w:val="24"/>
              </w:rPr>
              <w:t>二级用地类型修正系数</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i</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第</w:t>
            </w:r>
            <w:r>
              <w:rPr>
                <w:rFonts w:eastAsia="仿宋_GB2312"/>
                <w:i/>
                <w:iCs/>
                <w:color w:val="auto"/>
                <w:sz w:val="24"/>
              </w:rPr>
              <w:t>i</w:t>
            </w:r>
            <w:r>
              <w:rPr>
                <w:rFonts w:eastAsia="仿宋_GB2312"/>
                <w:color w:val="auto"/>
                <w:sz w:val="24"/>
              </w:rPr>
              <w:t>个区域因素修正系数</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剩余使用年期修正系数</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q</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期日修正系数</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g</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个别因素修正系数</w:t>
            </w:r>
          </w:p>
        </w:tc>
      </w:tr>
      <w:tr>
        <w:tblPrEx>
          <w:tblCellMar>
            <w:top w:w="0" w:type="dxa"/>
            <w:left w:w="108" w:type="dxa"/>
            <w:bottom w:w="0" w:type="dxa"/>
            <w:right w:w="108" w:type="dxa"/>
          </w:tblCellMar>
        </w:tblPrEx>
        <w:trPr>
          <w:trHeight w:val="340" w:hRule="atLeast"/>
        </w:trPr>
        <w:tc>
          <w:tcPr>
            <w:tcW w:w="720" w:type="dxa"/>
          </w:tcPr>
          <w:p>
            <w:pPr>
              <w:widowControl/>
              <w:adjustRightInd w:val="0"/>
              <w:snapToGrid w:val="0"/>
              <w:spacing w:line="240" w:lineRule="auto"/>
              <w:jc w:val="left"/>
              <w:rPr>
                <w:rFonts w:eastAsia="仿宋_GB2312"/>
                <w:i/>
                <w:color w:val="auto"/>
                <w:sz w:val="24"/>
              </w:rPr>
            </w:pPr>
            <w:r>
              <w:rPr>
                <w:rFonts w:eastAsia="仿宋_GB2312"/>
                <w:i/>
                <w:color w:val="auto"/>
                <w:sz w:val="24"/>
              </w:rPr>
              <w:t>D</w:t>
            </w:r>
          </w:p>
        </w:tc>
        <w:tc>
          <w:tcPr>
            <w:tcW w:w="696" w:type="dxa"/>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5940" w:type="dxa"/>
          </w:tcPr>
          <w:p>
            <w:pPr>
              <w:widowControl/>
              <w:adjustRightInd w:val="0"/>
              <w:snapToGrid w:val="0"/>
              <w:spacing w:line="240" w:lineRule="auto"/>
              <w:ind w:firstLine="120" w:firstLineChars="50"/>
              <w:jc w:val="left"/>
              <w:rPr>
                <w:rFonts w:eastAsia="仿宋_GB2312"/>
                <w:color w:val="auto"/>
                <w:sz w:val="24"/>
              </w:rPr>
            </w:pPr>
            <w:r>
              <w:rPr>
                <w:rFonts w:eastAsia="仿宋_GB2312"/>
                <w:color w:val="auto"/>
                <w:sz w:val="24"/>
              </w:rPr>
              <w:t>土地开发程度修正值</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修正体系</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（1）区域因素修正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工业用地区域因素包括交通条件、基本设施状况、环境条件、产业聚集效益、城镇规划。其修正系数如下：</w:t>
      </w: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 xml:space="preserve">4-4-1  </w:t>
      </w:r>
      <w:r>
        <w:rPr>
          <w:rFonts w:eastAsia="仿宋_GB2312"/>
          <w:b/>
          <w:bCs/>
          <w:color w:val="auto"/>
          <w:sz w:val="24"/>
        </w:rPr>
        <w:t>一级</w:t>
      </w:r>
      <w:r>
        <w:rPr>
          <w:rFonts w:hint="eastAsia" w:eastAsia="仿宋_GB2312"/>
          <w:b/>
          <w:bCs/>
          <w:color w:val="auto"/>
          <w:sz w:val="24"/>
        </w:rPr>
        <w:t>工业</w:t>
      </w:r>
      <w:r>
        <w:rPr>
          <w:rFonts w:eastAsia="仿宋_GB2312"/>
          <w:b/>
          <w:bCs/>
          <w:color w:val="auto"/>
          <w:sz w:val="24"/>
        </w:rPr>
        <w:t>用地区域因素修正系数表</w:t>
      </w:r>
    </w:p>
    <w:tbl>
      <w:tblPr>
        <w:tblStyle w:val="88"/>
        <w:tblW w:w="8976" w:type="dxa"/>
        <w:jc w:val="center"/>
        <w:tblLayout w:type="autofit"/>
        <w:tblCellMar>
          <w:top w:w="0" w:type="dxa"/>
          <w:left w:w="108" w:type="dxa"/>
          <w:bottom w:w="0" w:type="dxa"/>
          <w:right w:w="108" w:type="dxa"/>
        </w:tblCellMar>
      </w:tblPr>
      <w:tblGrid>
        <w:gridCol w:w="1281"/>
        <w:gridCol w:w="1539"/>
        <w:gridCol w:w="1539"/>
        <w:gridCol w:w="1539"/>
        <w:gridCol w:w="1539"/>
        <w:gridCol w:w="1539"/>
      </w:tblGrid>
      <w:tr>
        <w:tblPrEx>
          <w:tblCellMar>
            <w:top w:w="0" w:type="dxa"/>
            <w:left w:w="108" w:type="dxa"/>
            <w:bottom w:w="0" w:type="dxa"/>
            <w:right w:w="108" w:type="dxa"/>
          </w:tblCellMar>
        </w:tblPrEx>
        <w:trPr>
          <w:trHeight w:val="704" w:hRule="atLeast"/>
          <w:tblHeader/>
          <w:jc w:val="center"/>
        </w:trPr>
        <w:tc>
          <w:tcPr>
            <w:tcW w:w="1281"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90"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CellMar>
            <w:top w:w="0" w:type="dxa"/>
            <w:left w:w="108" w:type="dxa"/>
            <w:bottom w:w="0" w:type="dxa"/>
            <w:right w:w="108" w:type="dxa"/>
          </w:tblCellMar>
        </w:tblPrEx>
        <w:trPr>
          <w:trHeight w:val="409"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0.0814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0.0407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-0.0319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-0.0638 </w:t>
            </w:r>
          </w:p>
        </w:tc>
      </w:tr>
      <w:tr>
        <w:tblPrEx>
          <w:tblCellMar>
            <w:top w:w="0" w:type="dxa"/>
            <w:left w:w="108" w:type="dxa"/>
            <w:bottom w:w="0" w:type="dxa"/>
            <w:right w:w="108" w:type="dxa"/>
          </w:tblCellMar>
        </w:tblPrEx>
        <w:trPr>
          <w:trHeight w:val="1360"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CellMar>
            <w:top w:w="0" w:type="dxa"/>
            <w:left w:w="108" w:type="dxa"/>
            <w:bottom w:w="0" w:type="dxa"/>
            <w:right w:w="108" w:type="dxa"/>
          </w:tblCellMar>
        </w:tblPrEx>
        <w:trPr>
          <w:trHeight w:val="409"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0.0604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0.0302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-0.0237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-0.0474 </w:t>
            </w:r>
          </w:p>
        </w:tc>
      </w:tr>
      <w:tr>
        <w:tblPrEx>
          <w:tblCellMar>
            <w:top w:w="0" w:type="dxa"/>
            <w:left w:w="108" w:type="dxa"/>
            <w:bottom w:w="0" w:type="dxa"/>
            <w:right w:w="108" w:type="dxa"/>
          </w:tblCellMar>
        </w:tblPrEx>
        <w:trPr>
          <w:trHeight w:val="1365"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CellMar>
            <w:top w:w="0" w:type="dxa"/>
            <w:left w:w="108" w:type="dxa"/>
            <w:bottom w:w="0" w:type="dxa"/>
            <w:right w:w="108" w:type="dxa"/>
          </w:tblCellMar>
        </w:tblPrEx>
        <w:trPr>
          <w:trHeight w:val="409"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0.0366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0.0183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-0.0143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-0.0286 </w:t>
            </w:r>
          </w:p>
        </w:tc>
      </w:tr>
      <w:tr>
        <w:tblPrEx>
          <w:tblCellMar>
            <w:top w:w="0" w:type="dxa"/>
            <w:left w:w="108" w:type="dxa"/>
            <w:bottom w:w="0" w:type="dxa"/>
            <w:right w:w="108" w:type="dxa"/>
          </w:tblCellMar>
        </w:tblPrEx>
        <w:trPr>
          <w:trHeight w:val="1033" w:hRule="atLeast"/>
          <w:jc w:val="center"/>
        </w:trPr>
        <w:tc>
          <w:tcPr>
            <w:tcW w:w="1281"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CellMar>
            <w:top w:w="0" w:type="dxa"/>
            <w:left w:w="108" w:type="dxa"/>
            <w:bottom w:w="0" w:type="dxa"/>
            <w:right w:w="108" w:type="dxa"/>
          </w:tblCellMar>
        </w:tblPrEx>
        <w:trPr>
          <w:trHeight w:val="409"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0.0302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0.0151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-0.0236 </w:t>
            </w:r>
          </w:p>
        </w:tc>
      </w:tr>
      <w:tr>
        <w:tblPrEx>
          <w:tblCellMar>
            <w:top w:w="0" w:type="dxa"/>
            <w:left w:w="108" w:type="dxa"/>
            <w:bottom w:w="0" w:type="dxa"/>
            <w:right w:w="108" w:type="dxa"/>
          </w:tblCellMar>
        </w:tblPrEx>
        <w:trPr>
          <w:trHeight w:val="1690" w:hRule="atLeast"/>
          <w:jc w:val="center"/>
        </w:trPr>
        <w:tc>
          <w:tcPr>
            <w:tcW w:w="1281"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9" w:type="dxa"/>
            <w:tcBorders>
              <w:top w:val="nil"/>
              <w:left w:val="nil"/>
              <w:bottom w:val="single" w:color="auto" w:sz="4" w:space="0"/>
              <w:right w:val="single" w:color="auto" w:sz="4" w:space="0"/>
            </w:tcBorders>
            <w:vAlign w:val="center"/>
          </w:tcPr>
          <w:p>
            <w:pPr>
              <w:keepNext/>
              <w:keepLines/>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39" w:type="dxa"/>
            <w:tcBorders>
              <w:top w:val="nil"/>
              <w:left w:val="nil"/>
              <w:bottom w:val="single" w:color="auto" w:sz="4" w:space="0"/>
              <w:right w:val="single" w:color="auto" w:sz="4" w:space="0"/>
            </w:tcBorders>
            <w:vAlign w:val="center"/>
          </w:tcPr>
          <w:p>
            <w:pPr>
              <w:keepNext/>
              <w:keepLines/>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39" w:type="dxa"/>
            <w:tcBorders>
              <w:top w:val="nil"/>
              <w:left w:val="nil"/>
              <w:bottom w:val="single" w:color="auto" w:sz="4" w:space="0"/>
              <w:right w:val="single" w:color="auto" w:sz="4" w:space="0"/>
            </w:tcBorders>
            <w:vAlign w:val="center"/>
          </w:tcPr>
          <w:p>
            <w:pPr>
              <w:keepNext/>
              <w:keepLines/>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39" w:type="dxa"/>
            <w:tcBorders>
              <w:top w:val="nil"/>
              <w:left w:val="nil"/>
              <w:bottom w:val="single" w:color="auto" w:sz="4" w:space="0"/>
              <w:right w:val="single" w:color="auto" w:sz="4" w:space="0"/>
            </w:tcBorders>
            <w:vAlign w:val="center"/>
          </w:tcPr>
          <w:p>
            <w:pPr>
              <w:keepNext/>
              <w:keepLines/>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39" w:type="dxa"/>
            <w:tcBorders>
              <w:top w:val="nil"/>
              <w:left w:val="nil"/>
              <w:bottom w:val="single" w:color="auto" w:sz="4" w:space="0"/>
              <w:right w:val="single" w:color="auto" w:sz="4" w:space="0"/>
            </w:tcBorders>
            <w:vAlign w:val="center"/>
          </w:tcPr>
          <w:p>
            <w:pPr>
              <w:keepNext/>
              <w:keepLines/>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CellMar>
            <w:top w:w="0" w:type="dxa"/>
            <w:left w:w="108" w:type="dxa"/>
            <w:bottom w:w="0" w:type="dxa"/>
            <w:right w:w="108" w:type="dxa"/>
          </w:tblCellMar>
        </w:tblPrEx>
        <w:trPr>
          <w:trHeight w:val="454" w:hRule="atLeast"/>
          <w:jc w:val="center"/>
        </w:trPr>
        <w:tc>
          <w:tcPr>
            <w:tcW w:w="128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0.0202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0.0101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-0.0079 </w:t>
            </w:r>
          </w:p>
        </w:tc>
        <w:tc>
          <w:tcPr>
            <w:tcW w:w="1539"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r>
    </w:tbl>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p>
    <w:p>
      <w:pPr>
        <w:widowControl/>
        <w:spacing w:line="240"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4-4-2  二</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8855" w:type="dxa"/>
        <w:jc w:val="center"/>
        <w:tblLayout w:type="autofit"/>
        <w:tblCellMar>
          <w:top w:w="0" w:type="dxa"/>
          <w:left w:w="108" w:type="dxa"/>
          <w:bottom w:w="0" w:type="dxa"/>
          <w:right w:w="108" w:type="dxa"/>
        </w:tblCellMar>
      </w:tblPr>
      <w:tblGrid>
        <w:gridCol w:w="1265"/>
        <w:gridCol w:w="1518"/>
        <w:gridCol w:w="1518"/>
        <w:gridCol w:w="1518"/>
        <w:gridCol w:w="1518"/>
        <w:gridCol w:w="1518"/>
      </w:tblGrid>
      <w:tr>
        <w:tblPrEx>
          <w:tblCellMar>
            <w:top w:w="0" w:type="dxa"/>
            <w:left w:w="108" w:type="dxa"/>
            <w:bottom w:w="0" w:type="dxa"/>
            <w:right w:w="108" w:type="dxa"/>
          </w:tblCellMar>
        </w:tblPrEx>
        <w:trPr>
          <w:trHeight w:val="721" w:hRule="atLeast"/>
          <w:tblHeader/>
          <w:jc w:val="center"/>
        </w:trPr>
        <w:tc>
          <w:tcPr>
            <w:tcW w:w="1265"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87"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CellMar>
            <w:top w:w="0" w:type="dxa"/>
            <w:left w:w="108" w:type="dxa"/>
            <w:bottom w:w="0" w:type="dxa"/>
            <w:right w:w="108" w:type="dxa"/>
          </w:tblCellMar>
        </w:tblPrEx>
        <w:trPr>
          <w:trHeight w:val="408"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0.0738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0.0369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-0.0283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-0.0566 </w:t>
            </w:r>
          </w:p>
        </w:tc>
      </w:tr>
      <w:tr>
        <w:tblPrEx>
          <w:tblCellMar>
            <w:top w:w="0" w:type="dxa"/>
            <w:left w:w="108" w:type="dxa"/>
            <w:bottom w:w="0" w:type="dxa"/>
            <w:right w:w="108" w:type="dxa"/>
          </w:tblCellMar>
        </w:tblPrEx>
        <w:trPr>
          <w:trHeight w:val="1352"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CellMar>
            <w:top w:w="0" w:type="dxa"/>
            <w:left w:w="108" w:type="dxa"/>
            <w:bottom w:w="0" w:type="dxa"/>
            <w:right w:w="108" w:type="dxa"/>
          </w:tblCellMar>
        </w:tblPrEx>
        <w:trPr>
          <w:trHeight w:val="408"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0.0548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0.0274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-0.0420 </w:t>
            </w:r>
          </w:p>
        </w:tc>
      </w:tr>
      <w:tr>
        <w:tblPrEx>
          <w:tblCellMar>
            <w:top w:w="0" w:type="dxa"/>
            <w:left w:w="108" w:type="dxa"/>
            <w:bottom w:w="0" w:type="dxa"/>
            <w:right w:w="108" w:type="dxa"/>
          </w:tblCellMar>
        </w:tblPrEx>
        <w:trPr>
          <w:trHeight w:val="1420"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CellMar>
            <w:top w:w="0" w:type="dxa"/>
            <w:left w:w="108" w:type="dxa"/>
            <w:bottom w:w="0" w:type="dxa"/>
            <w:right w:w="108" w:type="dxa"/>
          </w:tblCellMar>
        </w:tblPrEx>
        <w:trPr>
          <w:trHeight w:val="408"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0.0332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0.0166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-0.0127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-0.0254 </w:t>
            </w:r>
          </w:p>
        </w:tc>
      </w:tr>
      <w:tr>
        <w:tblPrEx>
          <w:tblCellMar>
            <w:top w:w="0" w:type="dxa"/>
            <w:left w:w="108" w:type="dxa"/>
            <w:bottom w:w="0" w:type="dxa"/>
            <w:right w:w="108" w:type="dxa"/>
          </w:tblCellMar>
        </w:tblPrEx>
        <w:trPr>
          <w:trHeight w:val="1016"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CellMar>
            <w:top w:w="0" w:type="dxa"/>
            <w:left w:w="108" w:type="dxa"/>
            <w:bottom w:w="0" w:type="dxa"/>
            <w:right w:w="108" w:type="dxa"/>
          </w:tblCellMar>
        </w:tblPrEx>
        <w:trPr>
          <w:trHeight w:val="408"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0.0274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0.0137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-0.0105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-0.0210 </w:t>
            </w:r>
          </w:p>
        </w:tc>
      </w:tr>
      <w:tr>
        <w:tblPrEx>
          <w:tblCellMar>
            <w:top w:w="0" w:type="dxa"/>
            <w:left w:w="108" w:type="dxa"/>
            <w:bottom w:w="0" w:type="dxa"/>
            <w:right w:w="108" w:type="dxa"/>
          </w:tblCellMar>
        </w:tblPrEx>
        <w:trPr>
          <w:trHeight w:val="1687"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CellMar>
            <w:top w:w="0" w:type="dxa"/>
            <w:left w:w="108" w:type="dxa"/>
            <w:bottom w:w="0" w:type="dxa"/>
            <w:right w:w="108" w:type="dxa"/>
          </w:tblCellMar>
        </w:tblPrEx>
        <w:trPr>
          <w:trHeight w:val="433" w:hRule="atLeast"/>
          <w:jc w:val="center"/>
        </w:trPr>
        <w:tc>
          <w:tcPr>
            <w:tcW w:w="1265"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0.0184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-0.0140 </w:t>
            </w:r>
          </w:p>
        </w:tc>
      </w:tr>
    </w:tbl>
    <w:p>
      <w:pPr>
        <w:keepNext/>
        <w:adjustRightInd w:val="0"/>
        <w:snapToGrid w:val="0"/>
        <w:spacing w:before="78" w:beforeLines="25" w:line="312" w:lineRule="auto"/>
        <w:jc w:val="center"/>
        <w:rPr>
          <w:rFonts w:eastAsia="仿宋_GB2312"/>
          <w:b/>
          <w:bCs/>
          <w:color w:val="auto"/>
          <w:sz w:val="24"/>
        </w:rPr>
      </w:pPr>
    </w:p>
    <w:p>
      <w:pPr>
        <w:keepNext/>
        <w:adjustRightInd w:val="0"/>
        <w:snapToGrid w:val="0"/>
        <w:spacing w:before="78" w:beforeLines="25" w:line="312" w:lineRule="auto"/>
        <w:jc w:val="center"/>
        <w:rPr>
          <w:rFonts w:eastAsia="仿宋_GB2312"/>
          <w:b/>
          <w:bCs/>
          <w:color w:val="auto"/>
          <w:sz w:val="24"/>
        </w:rPr>
        <w:sectPr>
          <w:headerReference r:id="rId9" w:type="default"/>
          <w:footerReference r:id="rId10" w:type="default"/>
          <w:footerReference r:id="rId11" w:type="even"/>
          <w:pgSz w:w="11906" w:h="16838"/>
          <w:pgMar w:top="2098" w:right="1474" w:bottom="1984" w:left="1587" w:header="851" w:footer="1417" w:gutter="0"/>
          <w:pgNumType w:fmt="decimal"/>
          <w:cols w:space="0" w:num="1"/>
          <w:rtlGutter w:val="0"/>
          <w:docGrid w:type="lines" w:linePitch="312" w:charSpace="0"/>
        </w:sectPr>
      </w:pP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4-4-3  三</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8936" w:type="dxa"/>
        <w:jc w:val="center"/>
        <w:tblLayout w:type="autofit"/>
        <w:tblCellMar>
          <w:top w:w="0" w:type="dxa"/>
          <w:left w:w="108" w:type="dxa"/>
          <w:bottom w:w="0" w:type="dxa"/>
          <w:right w:w="108" w:type="dxa"/>
        </w:tblCellMar>
      </w:tblPr>
      <w:tblGrid>
        <w:gridCol w:w="1276"/>
        <w:gridCol w:w="1532"/>
        <w:gridCol w:w="1532"/>
        <w:gridCol w:w="1532"/>
        <w:gridCol w:w="1532"/>
        <w:gridCol w:w="1532"/>
      </w:tblGrid>
      <w:tr>
        <w:tblPrEx>
          <w:tblCellMar>
            <w:top w:w="0" w:type="dxa"/>
            <w:left w:w="108" w:type="dxa"/>
            <w:bottom w:w="0" w:type="dxa"/>
            <w:right w:w="108" w:type="dxa"/>
          </w:tblCellMar>
        </w:tblPrEx>
        <w:trPr>
          <w:trHeight w:val="844" w:hRule="atLeast"/>
          <w:tblHeader/>
          <w:jc w:val="center"/>
        </w:trPr>
        <w:tc>
          <w:tcPr>
            <w:tcW w:w="1276"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hint="eastAsia"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right"/>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316"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CellMar>
            <w:top w:w="0" w:type="dxa"/>
            <w:left w:w="108" w:type="dxa"/>
            <w:bottom w:w="0" w:type="dxa"/>
            <w:right w:w="108" w:type="dxa"/>
          </w:tblCellMar>
        </w:tblPrEx>
        <w:trPr>
          <w:trHeight w:val="380"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0.0660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0.0330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-0.0248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-0.0496 </w:t>
            </w:r>
          </w:p>
        </w:tc>
      </w:tr>
      <w:tr>
        <w:tblPrEx>
          <w:tblCellMar>
            <w:top w:w="0" w:type="dxa"/>
            <w:left w:w="108" w:type="dxa"/>
            <w:bottom w:w="0" w:type="dxa"/>
            <w:right w:w="108" w:type="dxa"/>
          </w:tblCellMar>
        </w:tblPrEx>
        <w:trPr>
          <w:trHeight w:val="1315"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CellMar>
            <w:top w:w="0" w:type="dxa"/>
            <w:left w:w="108" w:type="dxa"/>
            <w:bottom w:w="0" w:type="dxa"/>
            <w:right w:w="108" w:type="dxa"/>
          </w:tblCellMar>
        </w:tblPrEx>
        <w:trPr>
          <w:trHeight w:val="380"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0.0490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0.0245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-0.0184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-0.0368 </w:t>
            </w:r>
          </w:p>
        </w:tc>
      </w:tr>
      <w:tr>
        <w:tblPrEx>
          <w:tblCellMar>
            <w:top w:w="0" w:type="dxa"/>
            <w:left w:w="108" w:type="dxa"/>
            <w:bottom w:w="0" w:type="dxa"/>
            <w:right w:w="108" w:type="dxa"/>
          </w:tblCellMar>
        </w:tblPrEx>
        <w:trPr>
          <w:trHeight w:val="1316" w:hRule="atLeast"/>
          <w:jc w:val="center"/>
        </w:trPr>
        <w:tc>
          <w:tcPr>
            <w:tcW w:w="1276"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CellMar>
            <w:top w:w="0" w:type="dxa"/>
            <w:left w:w="108" w:type="dxa"/>
            <w:bottom w:w="0" w:type="dxa"/>
            <w:right w:w="108" w:type="dxa"/>
          </w:tblCellMar>
        </w:tblPrEx>
        <w:trPr>
          <w:trHeight w:val="380"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0.0298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0.0149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-0.0111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-0.0222 </w:t>
            </w:r>
          </w:p>
        </w:tc>
      </w:tr>
      <w:tr>
        <w:tblPrEx>
          <w:tblCellMar>
            <w:top w:w="0" w:type="dxa"/>
            <w:left w:w="108" w:type="dxa"/>
            <w:bottom w:w="0" w:type="dxa"/>
            <w:right w:w="108" w:type="dxa"/>
          </w:tblCellMar>
        </w:tblPrEx>
        <w:trPr>
          <w:trHeight w:val="993"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CellMar>
            <w:top w:w="0" w:type="dxa"/>
            <w:left w:w="108" w:type="dxa"/>
            <w:bottom w:w="0" w:type="dxa"/>
            <w:right w:w="108" w:type="dxa"/>
          </w:tblCellMar>
        </w:tblPrEx>
        <w:trPr>
          <w:trHeight w:val="380"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0.0244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0.0122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c>
          <w:tcPr>
            <w:tcW w:w="1532"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-0.0184 </w:t>
            </w:r>
          </w:p>
        </w:tc>
      </w:tr>
      <w:tr>
        <w:tblPrEx>
          <w:tblCellMar>
            <w:top w:w="0" w:type="dxa"/>
            <w:left w:w="108" w:type="dxa"/>
            <w:bottom w:w="0" w:type="dxa"/>
            <w:right w:w="108" w:type="dxa"/>
          </w:tblCellMar>
        </w:tblPrEx>
        <w:trPr>
          <w:trHeight w:val="1641"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CellMar>
            <w:top w:w="0" w:type="dxa"/>
            <w:left w:w="108" w:type="dxa"/>
            <w:bottom w:w="0" w:type="dxa"/>
            <w:right w:w="108" w:type="dxa"/>
          </w:tblCellMar>
        </w:tblPrEx>
        <w:trPr>
          <w:trHeight w:val="403" w:hRule="atLeast"/>
          <w:jc w:val="center"/>
        </w:trPr>
        <w:tc>
          <w:tcPr>
            <w:tcW w:w="127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-0.0061 </w:t>
            </w:r>
          </w:p>
        </w:tc>
        <w:tc>
          <w:tcPr>
            <w:tcW w:w="1532" w:type="dxa"/>
            <w:tcBorders>
              <w:top w:val="nil"/>
              <w:left w:val="nil"/>
              <w:bottom w:val="single" w:color="auto" w:sz="4" w:space="0"/>
              <w:right w:val="single" w:color="auto" w:sz="4" w:space="0"/>
            </w:tcBorders>
            <w:vAlign w:val="center"/>
          </w:tcPr>
          <w:p>
            <w:pPr>
              <w:keepNext/>
              <w:keepLines/>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-0.0122 </w:t>
            </w:r>
          </w:p>
        </w:tc>
      </w:tr>
    </w:tbl>
    <w:p>
      <w:pPr>
        <w:keepNext/>
        <w:adjustRightInd w:val="0"/>
        <w:snapToGrid w:val="0"/>
        <w:spacing w:before="78" w:beforeLines="25" w:line="312" w:lineRule="auto"/>
        <w:jc w:val="center"/>
        <w:rPr>
          <w:rFonts w:eastAsia="仿宋_GB2312"/>
          <w:b/>
          <w:bCs/>
          <w:color w:val="auto"/>
          <w:sz w:val="24"/>
        </w:rPr>
        <w:sectPr>
          <w:pgSz w:w="11906" w:h="16838"/>
          <w:pgMar w:top="2098" w:right="1474" w:bottom="1984" w:left="1587" w:header="851" w:footer="1417" w:gutter="0"/>
          <w:pgNumType w:fmt="decimal"/>
          <w:cols w:space="0" w:num="1"/>
          <w:rtlGutter w:val="0"/>
          <w:docGrid w:type="lines" w:linePitch="312" w:charSpace="0"/>
        </w:sectPr>
      </w:pP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4-4-4  四</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8856" w:type="dxa"/>
        <w:jc w:val="center"/>
        <w:tblLayout w:type="autofit"/>
        <w:tblCellMar>
          <w:top w:w="0" w:type="dxa"/>
          <w:left w:w="108" w:type="dxa"/>
          <w:bottom w:w="0" w:type="dxa"/>
          <w:right w:w="108" w:type="dxa"/>
        </w:tblCellMar>
      </w:tblPr>
      <w:tblGrid>
        <w:gridCol w:w="1266"/>
        <w:gridCol w:w="1518"/>
        <w:gridCol w:w="1518"/>
        <w:gridCol w:w="1518"/>
        <w:gridCol w:w="1518"/>
        <w:gridCol w:w="1518"/>
      </w:tblGrid>
      <w:tr>
        <w:tblPrEx>
          <w:tblCellMar>
            <w:top w:w="0" w:type="dxa"/>
            <w:left w:w="108" w:type="dxa"/>
            <w:bottom w:w="0" w:type="dxa"/>
            <w:right w:w="108" w:type="dxa"/>
          </w:tblCellMar>
        </w:tblPrEx>
        <w:trPr>
          <w:trHeight w:val="90" w:hRule="atLeast"/>
          <w:tblHeader/>
          <w:jc w:val="center"/>
        </w:trPr>
        <w:tc>
          <w:tcPr>
            <w:tcW w:w="1266"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hint="eastAsia"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right"/>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1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33"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CellMar>
            <w:top w:w="0" w:type="dxa"/>
            <w:left w:w="108" w:type="dxa"/>
            <w:bottom w:w="0" w:type="dxa"/>
            <w:right w:w="108" w:type="dxa"/>
          </w:tblCellMar>
        </w:tblPrEx>
        <w:trPr>
          <w:trHeight w:val="417"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0.0574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0.0287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-0.0223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-0.0446 </w:t>
            </w:r>
          </w:p>
        </w:tc>
      </w:tr>
      <w:tr>
        <w:tblPrEx>
          <w:tblCellMar>
            <w:top w:w="0" w:type="dxa"/>
            <w:left w:w="108" w:type="dxa"/>
            <w:bottom w:w="0" w:type="dxa"/>
            <w:right w:w="108" w:type="dxa"/>
          </w:tblCellMar>
        </w:tblPrEx>
        <w:trPr>
          <w:trHeight w:val="1324"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CellMar>
            <w:top w:w="0" w:type="dxa"/>
            <w:left w:w="108" w:type="dxa"/>
            <w:bottom w:w="0" w:type="dxa"/>
            <w:right w:w="108" w:type="dxa"/>
          </w:tblCellMar>
        </w:tblPrEx>
        <w:trPr>
          <w:trHeight w:val="417"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0.0426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0.0213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-0.0165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-0.0330 </w:t>
            </w:r>
          </w:p>
        </w:tc>
      </w:tr>
      <w:tr>
        <w:tblPrEx>
          <w:tblCellMar>
            <w:top w:w="0" w:type="dxa"/>
            <w:left w:w="108" w:type="dxa"/>
            <w:bottom w:w="0" w:type="dxa"/>
            <w:right w:w="108" w:type="dxa"/>
          </w:tblCellMar>
        </w:tblPrEx>
        <w:trPr>
          <w:trHeight w:val="1401"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CellMar>
            <w:top w:w="0" w:type="dxa"/>
            <w:left w:w="108" w:type="dxa"/>
            <w:bottom w:w="0" w:type="dxa"/>
            <w:right w:w="108" w:type="dxa"/>
          </w:tblCellMar>
        </w:tblPrEx>
        <w:trPr>
          <w:trHeight w:val="417"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0.0258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0.0129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-0.0200 </w:t>
            </w:r>
          </w:p>
        </w:tc>
      </w:tr>
      <w:tr>
        <w:tblPrEx>
          <w:tblCellMar>
            <w:top w:w="0" w:type="dxa"/>
            <w:left w:w="108" w:type="dxa"/>
            <w:bottom w:w="0" w:type="dxa"/>
            <w:right w:w="108" w:type="dxa"/>
          </w:tblCellMar>
        </w:tblPrEx>
        <w:trPr>
          <w:trHeight w:val="1060"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CellMar>
            <w:top w:w="0" w:type="dxa"/>
            <w:left w:w="108" w:type="dxa"/>
            <w:bottom w:w="0" w:type="dxa"/>
            <w:right w:w="108" w:type="dxa"/>
          </w:tblCellMar>
        </w:tblPrEx>
        <w:trPr>
          <w:trHeight w:val="417"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0.0212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r>
      <w:tr>
        <w:tblPrEx>
          <w:tblCellMar>
            <w:top w:w="0" w:type="dxa"/>
            <w:left w:w="108" w:type="dxa"/>
            <w:bottom w:w="0" w:type="dxa"/>
            <w:right w:w="108" w:type="dxa"/>
          </w:tblCellMar>
        </w:tblPrEx>
        <w:trPr>
          <w:trHeight w:val="1646" w:hRule="atLeast"/>
          <w:jc w:val="center"/>
        </w:trPr>
        <w:tc>
          <w:tcPr>
            <w:tcW w:w="1266"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18" w:type="dxa"/>
            <w:tcBorders>
              <w:top w:val="nil"/>
              <w:left w:val="nil"/>
              <w:bottom w:val="single" w:color="auto" w:sz="4" w:space="0"/>
              <w:right w:val="single" w:color="auto" w:sz="4" w:space="0"/>
            </w:tcBorders>
            <w:vAlign w:val="center"/>
          </w:tcPr>
          <w:p>
            <w:pPr>
              <w:keepNext/>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CellMar>
            <w:top w:w="0" w:type="dxa"/>
            <w:left w:w="108" w:type="dxa"/>
            <w:bottom w:w="0" w:type="dxa"/>
            <w:right w:w="108" w:type="dxa"/>
          </w:tblCellMar>
        </w:tblPrEx>
        <w:trPr>
          <w:trHeight w:val="463" w:hRule="atLeast"/>
          <w:jc w:val="center"/>
        </w:trPr>
        <w:tc>
          <w:tcPr>
            <w:tcW w:w="1266"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0.0142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0.0071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-0.0055 </w:t>
            </w:r>
          </w:p>
        </w:tc>
        <w:tc>
          <w:tcPr>
            <w:tcW w:w="1518" w:type="dxa"/>
            <w:tcBorders>
              <w:top w:val="nil"/>
              <w:left w:val="nil"/>
              <w:bottom w:val="single" w:color="auto" w:sz="4" w:space="0"/>
              <w:right w:val="single" w:color="auto" w:sz="4" w:space="0"/>
            </w:tcBorders>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-0.0110 </w:t>
            </w:r>
          </w:p>
        </w:tc>
      </w:tr>
    </w:tbl>
    <w:p>
      <w:pPr>
        <w:keepNext/>
        <w:adjustRightInd w:val="0"/>
        <w:snapToGrid w:val="0"/>
        <w:spacing w:before="78" w:beforeLines="25" w:line="312" w:lineRule="auto"/>
        <w:jc w:val="center"/>
        <w:rPr>
          <w:rFonts w:eastAsia="仿宋_GB2312"/>
          <w:b/>
          <w:bCs/>
          <w:color w:val="auto"/>
          <w:sz w:val="24"/>
        </w:rPr>
        <w:sectPr>
          <w:pgSz w:w="11906" w:h="16838"/>
          <w:pgMar w:top="2098" w:right="1474" w:bottom="1984" w:left="1587" w:header="851" w:footer="1417" w:gutter="0"/>
          <w:pgNumType w:fmt="decimal"/>
          <w:cols w:space="0" w:num="1"/>
          <w:rtlGutter w:val="0"/>
          <w:docGrid w:type="lines" w:linePitch="312" w:charSpace="0"/>
        </w:sectPr>
      </w:pP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4-4-5  五</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9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1549"/>
        <w:gridCol w:w="1549"/>
        <w:gridCol w:w="1549"/>
        <w:gridCol w:w="1549"/>
        <w:gridCol w:w="1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blHeader/>
          <w:jc w:val="center"/>
        </w:trPr>
        <w:tc>
          <w:tcPr>
            <w:tcW w:w="1290" w:type="dxa"/>
            <w:tcBorders>
              <w:tl2br w:val="single" w:color="auto" w:sz="4" w:space="0"/>
            </w:tcBorders>
            <w:vAlign w:val="center"/>
          </w:tcPr>
          <w:p>
            <w:pPr>
              <w:adjustRightInd w:val="0"/>
              <w:snapToGrid w:val="0"/>
              <w:spacing w:line="240" w:lineRule="auto"/>
              <w:jc w:val="right"/>
              <w:rPr>
                <w:rFonts w:hint="eastAsia"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right"/>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49"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49"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49"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49"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49"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49" w:type="dxa"/>
            <w:vAlign w:val="center"/>
          </w:tcPr>
          <w:p>
            <w:pPr>
              <w:keepNext/>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49" w:type="dxa"/>
            <w:vAlign w:val="center"/>
          </w:tcPr>
          <w:p>
            <w:pPr>
              <w:keepNext/>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49" w:type="dxa"/>
            <w:vAlign w:val="center"/>
          </w:tcPr>
          <w:p>
            <w:pPr>
              <w:keepNext/>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49" w:type="dxa"/>
            <w:vAlign w:val="center"/>
          </w:tcPr>
          <w:p>
            <w:pPr>
              <w:keepNext/>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49" w:type="dxa"/>
            <w:vAlign w:val="center"/>
          </w:tcPr>
          <w:p>
            <w:pPr>
              <w:keepNext/>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vAlign w:val="center"/>
          </w:tcPr>
          <w:p>
            <w:pPr>
              <w:keepNext/>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0.0516 </w:t>
            </w:r>
          </w:p>
        </w:tc>
        <w:tc>
          <w:tcPr>
            <w:tcW w:w="1549" w:type="dxa"/>
            <w:vAlign w:val="center"/>
          </w:tcPr>
          <w:p>
            <w:pPr>
              <w:keepNext/>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0.0258 </w:t>
            </w:r>
          </w:p>
        </w:tc>
        <w:tc>
          <w:tcPr>
            <w:tcW w:w="1549" w:type="dxa"/>
            <w:vAlign w:val="center"/>
          </w:tcPr>
          <w:p>
            <w:pPr>
              <w:keepNext/>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vAlign w:val="center"/>
          </w:tcPr>
          <w:p>
            <w:pPr>
              <w:keepNext/>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-0.0184 </w:t>
            </w:r>
          </w:p>
        </w:tc>
        <w:tc>
          <w:tcPr>
            <w:tcW w:w="1549" w:type="dxa"/>
            <w:vAlign w:val="center"/>
          </w:tcPr>
          <w:p>
            <w:pPr>
              <w:keepNext/>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0.0384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0.0192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-0.0137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0.0232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-0.0083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0.0192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0.0096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-0.0068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49" w:type="dxa"/>
            <w:vAlign w:val="center"/>
          </w:tcPr>
          <w:p>
            <w:pPr>
              <w:widowControl/>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1290"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0.0128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0.0064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-0.0046 </w:t>
            </w:r>
          </w:p>
        </w:tc>
        <w:tc>
          <w:tcPr>
            <w:tcW w:w="1549" w:type="dxa"/>
            <w:vAlign w:val="center"/>
          </w:tcPr>
          <w:p>
            <w:pPr>
              <w:widowControl/>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r>
    </w:tbl>
    <w:p>
      <w:pPr>
        <w:keepNext/>
        <w:adjustRightInd w:val="0"/>
        <w:snapToGrid w:val="0"/>
        <w:spacing w:before="78" w:beforeLines="25" w:line="312" w:lineRule="auto"/>
        <w:jc w:val="center"/>
        <w:rPr>
          <w:rFonts w:eastAsia="仿宋_GB2312"/>
          <w:b/>
          <w:bCs/>
          <w:color w:val="auto"/>
          <w:sz w:val="24"/>
        </w:rPr>
        <w:sectPr>
          <w:pgSz w:w="11906" w:h="16838"/>
          <w:pgMar w:top="2098" w:right="1474" w:bottom="1984" w:left="1587" w:header="851" w:footer="1417" w:gutter="0"/>
          <w:pgNumType w:fmt="decimal"/>
          <w:cols w:space="0" w:num="1"/>
          <w:rtlGutter w:val="0"/>
          <w:docGrid w:type="lines" w:linePitch="312" w:charSpace="0"/>
        </w:sectPr>
      </w:pP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4-4-6  六</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532"/>
        <w:gridCol w:w="1532"/>
        <w:gridCol w:w="1532"/>
        <w:gridCol w:w="1532"/>
        <w:gridCol w:w="1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blHeader/>
          <w:jc w:val="center"/>
        </w:trPr>
        <w:tc>
          <w:tcPr>
            <w:tcW w:w="1277" w:type="dxa"/>
            <w:tcBorders>
              <w:tl2br w:val="single" w:color="auto" w:sz="4" w:space="0"/>
            </w:tcBorders>
            <w:vAlign w:val="center"/>
          </w:tcPr>
          <w:p>
            <w:pPr>
              <w:adjustRightInd w:val="0"/>
              <w:snapToGrid w:val="0"/>
              <w:spacing w:line="240" w:lineRule="auto"/>
              <w:jc w:val="right"/>
              <w:rPr>
                <w:rFonts w:hint="eastAsia"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right"/>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2"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临交通型主干道，道路通达度高，对外交通便利</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临交通型次干道，道路通达度较高，对外交通较便利</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临混合型道路，道路通达度一般，对外交通一般</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临支路，道路通达度较低，对外交通较差</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不临路，道路通达度低，对外交通差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0.0458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0.0229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0</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-0.0154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-0.0308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市政供水、供电保证率高，排水状况好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市政供水、供电保证率较高，排水状况较好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市政供水、供电保证率一般，排水状况一般</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市政供水、供电保证率较低，排水状况较差</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市政供水、供电保证率低，排水状况差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0.0340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0.0170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1.0000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-0.0114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-0.0228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地形、地貌、地质等情况良好，无噪音影响</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地形、地貌、地质等情况较好，噪音影响轻微</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地形、地貌、地质等情况一般，噪音影响一般</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地形、地貌、地质等情况较差，噪音影响较严重</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地形、地貌、地质等情况差，噪音影响严重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0.0206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0.0103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2.0000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-0.0069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产业集聚度高、产业配套程度好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产业聚集度较高、产业配套程度较好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产业聚集度一般、产业配套程度一般</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产业聚集度较低、产业配套程度较差</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产业聚集度低、产业配套程度差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0.0170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0.0085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3.0000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-0.0057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区域内规划完善，且为重点工业规划区，近期规划前景好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区域规划较适合工业规划布局，近期规划前景较好</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区域规划为其他用途规划，规划前景一般</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区域规划为其他用途规划，规划前景较差</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hint="eastAsia" w:eastAsia="仿宋_GB2312"/>
                <w:color w:val="auto"/>
                <w:kern w:val="0"/>
                <w:sz w:val="22"/>
                <w:szCs w:val="22"/>
                <w:lang w:bidi="ar"/>
              </w:rPr>
              <w:t>区域规划不适宜工业规划布局，规划前景差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77" w:type="dxa"/>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0.0114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0.0057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4.0000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-0.0038 </w:t>
            </w:r>
          </w:p>
        </w:tc>
        <w:tc>
          <w:tcPr>
            <w:tcW w:w="1532" w:type="dxa"/>
            <w:vAlign w:val="center"/>
          </w:tcPr>
          <w:p>
            <w:pPr>
              <w:widowControl/>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 xml:space="preserve">-0.0076 </w:t>
            </w:r>
          </w:p>
        </w:tc>
      </w:tr>
    </w:tbl>
    <w:p>
      <w:pPr>
        <w:keepNext/>
        <w:adjustRightInd w:val="0"/>
        <w:snapToGrid w:val="0"/>
        <w:spacing w:before="78" w:beforeLines="25" w:line="312" w:lineRule="auto"/>
        <w:jc w:val="center"/>
        <w:rPr>
          <w:rFonts w:eastAsia="仿宋_GB2312"/>
          <w:b/>
          <w:bCs/>
          <w:vanish/>
          <w:color w:val="auto"/>
          <w:sz w:val="24"/>
        </w:rPr>
      </w:pPr>
    </w:p>
    <w:p>
      <w:pPr>
        <w:keepNext/>
        <w:adjustRightInd w:val="0"/>
        <w:snapToGrid w:val="0"/>
        <w:spacing w:before="78" w:beforeLines="25" w:line="312" w:lineRule="auto"/>
        <w:jc w:val="center"/>
        <w:rPr>
          <w:rFonts w:hint="eastAsia" w:eastAsia="仿宋_GB2312"/>
          <w:b/>
          <w:bCs/>
          <w:vanish/>
          <w:color w:val="auto"/>
          <w:sz w:val="24"/>
          <w:lang w:val="en-US" w:eastAsia="zh-CN"/>
        </w:rPr>
      </w:pPr>
      <w:r>
        <w:rPr>
          <w:rFonts w:hint="eastAsia" w:eastAsia="仿宋_GB2312"/>
          <w:b/>
          <w:bCs/>
          <w:vanish/>
          <w:color w:val="auto"/>
          <w:sz w:val="24"/>
          <w:lang w:val="en-US" w:eastAsia="zh-CN"/>
        </w:rPr>
        <w:t xml:space="preserve">              </w:t>
      </w: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r>
        <w:rPr>
          <w:rFonts w:hint="eastAsia" w:eastAsia="仿宋_GB2312"/>
          <w:b/>
          <w:bCs/>
          <w:vanish/>
          <w:color w:val="auto"/>
          <w:sz w:val="24"/>
          <w:lang w:val="en-US" w:eastAsia="zh-CN"/>
        </w:rPr>
        <w:t xml:space="preserve">      </w:t>
      </w: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eastAsia" w:eastAsia="仿宋_GB2312"/>
          <w:b/>
          <w:bCs/>
          <w:vanish/>
          <w:color w:val="auto"/>
          <w:sz w:val="24"/>
          <w:lang w:val="en-US" w:eastAsia="zh-CN"/>
        </w:rPr>
      </w:pPr>
    </w:p>
    <w:p>
      <w:pPr>
        <w:keepNext/>
        <w:adjustRightInd w:val="0"/>
        <w:snapToGrid w:val="0"/>
        <w:spacing w:before="78" w:beforeLines="25" w:line="312" w:lineRule="auto"/>
        <w:jc w:val="center"/>
        <w:rPr>
          <w:rFonts w:hint="default" w:eastAsia="仿宋_GB2312"/>
          <w:b/>
          <w:bCs/>
          <w:vanish/>
          <w:color w:val="auto"/>
          <w:sz w:val="24"/>
          <w:lang w:val="en-US" w:eastAsia="zh-CN"/>
        </w:rPr>
      </w:pPr>
    </w:p>
    <w:p>
      <w:pPr>
        <w:keepNext/>
        <w:adjustRightInd w:val="0"/>
        <w:snapToGrid w:val="0"/>
        <w:spacing w:before="78" w:beforeLines="25" w:line="312" w:lineRule="auto"/>
        <w:jc w:val="center"/>
        <w:rPr>
          <w:rFonts w:eastAsia="仿宋_GB2312"/>
          <w:b/>
          <w:bCs/>
          <w:vanish/>
          <w:color w:val="auto"/>
          <w:sz w:val="24"/>
        </w:rPr>
      </w:pPr>
    </w:p>
    <w:p>
      <w:pPr>
        <w:keepNext/>
        <w:adjustRightInd w:val="0"/>
        <w:snapToGrid w:val="0"/>
        <w:spacing w:before="78" w:beforeLines="25" w:line="312" w:lineRule="auto"/>
        <w:jc w:val="center"/>
        <w:rPr>
          <w:rFonts w:eastAsia="仿宋_GB2312"/>
          <w:b/>
          <w:bCs/>
          <w:color w:val="auto"/>
          <w:sz w:val="24"/>
        </w:rPr>
        <w:sectPr>
          <w:pgSz w:w="11906" w:h="16838"/>
          <w:pgMar w:top="2098" w:right="1474" w:bottom="1984" w:left="1587" w:header="851" w:footer="1417" w:gutter="0"/>
          <w:pgNumType w:fmt="decimal"/>
          <w:cols w:space="0" w:num="1"/>
          <w:rtlGutter w:val="0"/>
          <w:docGrid w:type="lines" w:linePitch="312" w:charSpace="0"/>
        </w:sectPr>
      </w:pP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4-4-7  七</w:t>
      </w:r>
      <w:r>
        <w:rPr>
          <w:rFonts w:eastAsia="仿宋_GB2312"/>
          <w:b/>
          <w:bCs/>
          <w:color w:val="auto"/>
          <w:sz w:val="24"/>
        </w:rPr>
        <w:t>级</w:t>
      </w:r>
      <w:r>
        <w:rPr>
          <w:rFonts w:hint="eastAsia" w:eastAsia="仿宋_GB2312"/>
          <w:b/>
          <w:bCs/>
          <w:color w:val="auto"/>
          <w:sz w:val="24"/>
        </w:rPr>
        <w:t>工业</w:t>
      </w:r>
      <w:r>
        <w:rPr>
          <w:rFonts w:eastAsia="仿宋_GB2312"/>
          <w:b/>
          <w:bCs/>
          <w:color w:val="auto"/>
          <w:sz w:val="24"/>
        </w:rPr>
        <w:t>用地区域因素修正系数表</w:t>
      </w:r>
    </w:p>
    <w:tbl>
      <w:tblPr>
        <w:tblStyle w:val="88"/>
        <w:tblW w:w="8895" w:type="dxa"/>
        <w:jc w:val="center"/>
        <w:tblLayout w:type="autofit"/>
        <w:tblCellMar>
          <w:top w:w="0" w:type="dxa"/>
          <w:left w:w="108" w:type="dxa"/>
          <w:bottom w:w="0" w:type="dxa"/>
          <w:right w:w="108" w:type="dxa"/>
        </w:tblCellMar>
      </w:tblPr>
      <w:tblGrid>
        <w:gridCol w:w="1270"/>
        <w:gridCol w:w="1525"/>
        <w:gridCol w:w="1525"/>
        <w:gridCol w:w="1525"/>
        <w:gridCol w:w="1525"/>
        <w:gridCol w:w="1525"/>
      </w:tblGrid>
      <w:tr>
        <w:tblPrEx>
          <w:tblCellMar>
            <w:top w:w="0" w:type="dxa"/>
            <w:left w:w="108" w:type="dxa"/>
            <w:bottom w:w="0" w:type="dxa"/>
            <w:right w:w="108" w:type="dxa"/>
          </w:tblCellMar>
        </w:tblPrEx>
        <w:trPr>
          <w:trHeight w:val="968" w:hRule="atLeast"/>
          <w:tblHeader/>
          <w:jc w:val="center"/>
        </w:trPr>
        <w:tc>
          <w:tcPr>
            <w:tcW w:w="1270"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hint="eastAsia"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jc w:val="right"/>
              <w:rPr>
                <w:rFonts w:hint="eastAsia" w:eastAsia="仿宋_GB2312" w:cs="宋体"/>
                <w:b/>
                <w:bCs/>
                <w:color w:val="auto"/>
                <w:kern w:val="0"/>
                <w:sz w:val="22"/>
                <w:szCs w:val="22"/>
              </w:rPr>
            </w:pP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795"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临交通型主干道，道路通达度高，对外交通便利</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临交通型次干道，道路通达度较高，对外交通较便利</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临混合型道路，道路通达度一般，对外交通一般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临支路，道路通达度较低，对外交通较差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不临路，道路通达度低，对外交通差</w:t>
            </w:r>
          </w:p>
        </w:tc>
      </w:tr>
      <w:tr>
        <w:tblPrEx>
          <w:tblCellMar>
            <w:top w:w="0" w:type="dxa"/>
            <w:left w:w="108" w:type="dxa"/>
            <w:bottom w:w="0" w:type="dxa"/>
            <w:right w:w="108" w:type="dxa"/>
          </w:tblCellMar>
        </w:tblPrEx>
        <w:trPr>
          <w:trHeight w:val="40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0.0388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-0.0133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-0.0266 </w:t>
            </w:r>
          </w:p>
        </w:tc>
      </w:tr>
      <w:tr>
        <w:tblPrEx>
          <w:tblCellMar>
            <w:top w:w="0" w:type="dxa"/>
            <w:left w:w="108" w:type="dxa"/>
            <w:bottom w:w="0" w:type="dxa"/>
            <w:right w:w="108" w:type="dxa"/>
          </w:tblCellMar>
        </w:tblPrEx>
        <w:trPr>
          <w:trHeight w:val="144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w:t>
            </w:r>
          </w:p>
        </w:tc>
      </w:tr>
      <w:tr>
        <w:tblPrEx>
          <w:tblCellMar>
            <w:top w:w="0" w:type="dxa"/>
            <w:left w:w="108" w:type="dxa"/>
            <w:bottom w:w="0" w:type="dxa"/>
            <w:right w:w="108" w:type="dxa"/>
          </w:tblCellMar>
        </w:tblPrEx>
        <w:trPr>
          <w:trHeight w:val="40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0.0288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-0.0099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-0.0198 </w:t>
            </w:r>
          </w:p>
        </w:tc>
      </w:tr>
      <w:tr>
        <w:tblPrEx>
          <w:tblCellMar>
            <w:top w:w="0" w:type="dxa"/>
            <w:left w:w="108" w:type="dxa"/>
            <w:bottom w:w="0" w:type="dxa"/>
            <w:right w:w="108" w:type="dxa"/>
          </w:tblCellMar>
        </w:tblPrEx>
        <w:trPr>
          <w:trHeight w:val="144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地形、地貌、地质等情况良好，无噪音影响</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地形、地貌、地质等情况较好，噪音影响轻微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地形、地貌、地质等情况一般，噪音影响一般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地形、地貌、地质等情况较差，噪音影响较严重</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地形、地貌、地质等情况差，噪音影响严重</w:t>
            </w:r>
          </w:p>
        </w:tc>
      </w:tr>
      <w:tr>
        <w:tblPrEx>
          <w:tblCellMar>
            <w:top w:w="0" w:type="dxa"/>
            <w:left w:w="108" w:type="dxa"/>
            <w:bottom w:w="0" w:type="dxa"/>
            <w:right w:w="108" w:type="dxa"/>
          </w:tblCellMar>
        </w:tblPrEx>
        <w:trPr>
          <w:trHeight w:val="40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0.0087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r>
      <w:tr>
        <w:tblPrEx>
          <w:tblCellMar>
            <w:top w:w="0" w:type="dxa"/>
            <w:left w:w="108" w:type="dxa"/>
            <w:bottom w:w="0" w:type="dxa"/>
            <w:right w:w="108" w:type="dxa"/>
          </w:tblCellMar>
        </w:tblPrEx>
        <w:trPr>
          <w:trHeight w:val="1113"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产业集聚效益</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产业集聚度高、产业配套程度好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产业聚集度较高、产业配套程度较好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产业聚集度一般、产业配套程度一般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产业聚集度较低、产业配套程度较差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产业聚集度低、产业配套程度差</w:t>
            </w:r>
          </w:p>
        </w:tc>
      </w:tr>
      <w:tr>
        <w:tblPrEx>
          <w:tblCellMar>
            <w:top w:w="0" w:type="dxa"/>
            <w:left w:w="108" w:type="dxa"/>
            <w:bottom w:w="0" w:type="dxa"/>
            <w:right w:w="108" w:type="dxa"/>
          </w:tblCellMar>
        </w:tblPrEx>
        <w:trPr>
          <w:trHeight w:val="40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-0.0049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-0.0098 </w:t>
            </w:r>
          </w:p>
        </w:tc>
      </w:tr>
      <w:tr>
        <w:tblPrEx>
          <w:tblCellMar>
            <w:top w:w="0" w:type="dxa"/>
            <w:left w:w="108" w:type="dxa"/>
            <w:bottom w:w="0" w:type="dxa"/>
            <w:right w:w="108" w:type="dxa"/>
          </w:tblCellMar>
        </w:tblPrEx>
        <w:trPr>
          <w:trHeight w:val="1795"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区域内规划完善，且为重点工业规划区，近期规划前景好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区域规划较适合工业规划布局，近期规划前景较好</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区域规划不适宜工业规划布局，规划前景差</w:t>
            </w:r>
          </w:p>
        </w:tc>
      </w:tr>
      <w:tr>
        <w:tblPrEx>
          <w:tblCellMar>
            <w:top w:w="0" w:type="dxa"/>
            <w:left w:w="108" w:type="dxa"/>
            <w:bottom w:w="0" w:type="dxa"/>
            <w:right w:w="108" w:type="dxa"/>
          </w:tblCellMar>
        </w:tblPrEx>
        <w:trPr>
          <w:trHeight w:val="446"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0.0096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0.0048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-0.0033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（2）容积率修正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般来说，工业用地的容积率限制对地价的影响较小，其地价的差异更多的是由产业集聚度、产业导向、区域配套情况、政策引导等其他因素导致的。另根据《国务院关于促进节约集约用地的通知》（国发〔2008〕3号）第八条“对现有工业用地，在符合规划、不改变用途的前提下，提高土地利用率和增加容积率的，不再增收土地价款；对新增工业用地，要进一步提高工业用地控制指标，厂房建筑面积高于容积率控制指标的部分，不再增收土地价款”，《节约集约利用土地规定》（中华人民共和国国土资源部令第61号，2019年修正）第二十四条“鼓励土地使用者在符合规划的前提下，通过厂房加层、厂区改造、内部用地整理等途径提高土地利用率。在符合规划、不改变用途的前提下，现有工业用地提高土地利用率和增加容积率的，不再增收土地价款”。对符合节约集约相关规定的工业用地而言，容积率不作为影响工业用地地价的主要因素，符合相关规定的工业用地不进行容积率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（3）剩余使用年期修正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按照土地还原率为5.00%，法定最高出让年期为50年，计算工业用地剩余使用年期修正系数。剩余使用年期修正系数计算公式如下：</w:t>
      </w:r>
    </w:p>
    <w:p>
      <w:pPr>
        <w:adjustRightInd w:val="0"/>
        <w:snapToGrid w:val="0"/>
        <w:spacing w:line="288" w:lineRule="auto"/>
        <w:jc w:val="center"/>
        <w:rPr>
          <w:rFonts w:eastAsia="仿宋_GB2312"/>
          <w:i/>
          <w:color w:val="auto"/>
          <w:sz w:val="24"/>
        </w:rPr>
      </w:pPr>
      <w:r>
        <w:rPr>
          <w:rFonts w:eastAsia="仿宋_GB2312"/>
          <w:color w:val="auto"/>
          <w:position w:val="-30"/>
          <w:sz w:val="24"/>
        </w:rPr>
        <w:drawing>
          <wp:inline distT="0" distB="0" distL="0" distR="0">
            <wp:extent cx="1333500" cy="476250"/>
            <wp:effectExtent l="0" t="0" r="0" b="0"/>
            <wp:docPr id="37"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1333500" cy="476250"/>
                    </a:xfrm>
                    <a:prstGeom prst="rect">
                      <a:avLst/>
                    </a:prstGeom>
                    <a:noFill/>
                    <a:ln>
                      <a:noFill/>
                    </a:ln>
                  </pic:spPr>
                </pic:pic>
              </a:graphicData>
            </a:graphic>
          </wp:inline>
        </w:drawing>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4458" w:type="dxa"/>
        <w:jc w:val="center"/>
        <w:tblLayout w:type="fixed"/>
        <w:tblCellMar>
          <w:top w:w="0" w:type="dxa"/>
          <w:left w:w="108" w:type="dxa"/>
          <w:bottom w:w="0" w:type="dxa"/>
          <w:right w:w="108" w:type="dxa"/>
        </w:tblCellMar>
      </w:tblPr>
      <w:tblGrid>
        <w:gridCol w:w="458"/>
        <w:gridCol w:w="646"/>
        <w:gridCol w:w="3354"/>
      </w:tblGrid>
      <w:tr>
        <w:tblPrEx>
          <w:tblCellMar>
            <w:top w:w="0" w:type="dxa"/>
            <w:left w:w="108" w:type="dxa"/>
            <w:bottom w:w="0" w:type="dxa"/>
            <w:right w:w="108" w:type="dxa"/>
          </w:tblCellMar>
        </w:tblPrEx>
        <w:trPr>
          <w:trHeight w:val="482" w:hRule="atLeast"/>
          <w:jc w:val="center"/>
        </w:trPr>
        <w:tc>
          <w:tcPr>
            <w:tcW w:w="458" w:type="dxa"/>
            <w:vAlign w:val="center"/>
          </w:tcPr>
          <w:p>
            <w:pPr>
              <w:adjustRightInd w:val="0"/>
              <w:snapToGrid w:val="0"/>
              <w:spacing w:line="312" w:lineRule="auto"/>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46"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54" w:type="dxa"/>
            <w:vAlign w:val="center"/>
          </w:tcPr>
          <w:p>
            <w:pPr>
              <w:adjustRightInd w:val="0"/>
              <w:snapToGrid w:val="0"/>
              <w:spacing w:line="312" w:lineRule="auto"/>
              <w:rPr>
                <w:rFonts w:eastAsia="仿宋_GB2312"/>
                <w:color w:val="auto"/>
                <w:sz w:val="24"/>
              </w:rPr>
            </w:pPr>
            <w:r>
              <w:rPr>
                <w:rFonts w:hint="eastAsia" w:eastAsia="仿宋_GB2312"/>
                <w:color w:val="auto"/>
                <w:sz w:val="24"/>
              </w:rPr>
              <w:t>剩余使用</w:t>
            </w:r>
            <w:r>
              <w:rPr>
                <w:rFonts w:eastAsia="仿宋_GB2312"/>
                <w:color w:val="auto"/>
                <w:sz w:val="24"/>
              </w:rPr>
              <w:t>年期修正系数</w:t>
            </w:r>
          </w:p>
        </w:tc>
      </w:tr>
      <w:tr>
        <w:tblPrEx>
          <w:tblCellMar>
            <w:top w:w="0" w:type="dxa"/>
            <w:left w:w="108" w:type="dxa"/>
            <w:bottom w:w="0" w:type="dxa"/>
            <w:right w:w="108" w:type="dxa"/>
          </w:tblCellMar>
        </w:tblPrEx>
        <w:trPr>
          <w:trHeight w:val="482" w:hRule="atLeast"/>
          <w:jc w:val="center"/>
        </w:trPr>
        <w:tc>
          <w:tcPr>
            <w:tcW w:w="458" w:type="dxa"/>
            <w:vAlign w:val="center"/>
          </w:tcPr>
          <w:p>
            <w:pPr>
              <w:adjustRightInd w:val="0"/>
              <w:snapToGrid w:val="0"/>
              <w:spacing w:line="312" w:lineRule="auto"/>
              <w:rPr>
                <w:rFonts w:eastAsia="仿宋_GB2312"/>
                <w:i/>
                <w:color w:val="auto"/>
                <w:sz w:val="24"/>
              </w:rPr>
            </w:pPr>
            <w:r>
              <w:rPr>
                <w:rFonts w:eastAsia="仿宋_GB2312"/>
                <w:i/>
                <w:color w:val="auto"/>
                <w:sz w:val="24"/>
              </w:rPr>
              <w:t>ml</w:t>
            </w:r>
          </w:p>
        </w:tc>
        <w:tc>
          <w:tcPr>
            <w:tcW w:w="646"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54" w:type="dxa"/>
            <w:vAlign w:val="center"/>
          </w:tcPr>
          <w:p>
            <w:pPr>
              <w:adjustRightInd w:val="0"/>
              <w:snapToGrid w:val="0"/>
              <w:spacing w:line="312" w:lineRule="auto"/>
              <w:rPr>
                <w:rFonts w:eastAsia="仿宋_GB2312"/>
                <w:color w:val="auto"/>
                <w:sz w:val="24"/>
              </w:rPr>
            </w:pPr>
            <w:r>
              <w:rPr>
                <w:rFonts w:eastAsia="仿宋_GB2312"/>
                <w:color w:val="auto"/>
                <w:sz w:val="24"/>
              </w:rPr>
              <w:t>实际使用年期</w:t>
            </w:r>
          </w:p>
        </w:tc>
      </w:tr>
      <w:tr>
        <w:tblPrEx>
          <w:tblCellMar>
            <w:top w:w="0" w:type="dxa"/>
            <w:left w:w="108" w:type="dxa"/>
            <w:bottom w:w="0" w:type="dxa"/>
            <w:right w:w="108" w:type="dxa"/>
          </w:tblCellMar>
        </w:tblPrEx>
        <w:trPr>
          <w:trHeight w:val="482" w:hRule="atLeast"/>
          <w:jc w:val="center"/>
        </w:trPr>
        <w:tc>
          <w:tcPr>
            <w:tcW w:w="458" w:type="dxa"/>
            <w:vAlign w:val="center"/>
          </w:tcPr>
          <w:p>
            <w:pPr>
              <w:adjustRightInd w:val="0"/>
              <w:snapToGrid w:val="0"/>
              <w:spacing w:line="312" w:lineRule="auto"/>
              <w:rPr>
                <w:rFonts w:eastAsia="仿宋_GB2312"/>
                <w:i/>
                <w:color w:val="auto"/>
                <w:sz w:val="24"/>
              </w:rPr>
            </w:pPr>
            <w:r>
              <w:rPr>
                <w:rFonts w:eastAsia="仿宋_GB2312"/>
                <w:i/>
                <w:color w:val="auto"/>
                <w:sz w:val="24"/>
              </w:rPr>
              <w:t>m</w:t>
            </w:r>
          </w:p>
        </w:tc>
        <w:tc>
          <w:tcPr>
            <w:tcW w:w="646"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54" w:type="dxa"/>
            <w:vAlign w:val="center"/>
          </w:tcPr>
          <w:p>
            <w:pPr>
              <w:adjustRightInd w:val="0"/>
              <w:snapToGrid w:val="0"/>
              <w:spacing w:line="312" w:lineRule="auto"/>
              <w:rPr>
                <w:rFonts w:eastAsia="仿宋_GB2312"/>
                <w:color w:val="auto"/>
                <w:sz w:val="24"/>
              </w:rPr>
            </w:pPr>
            <w:r>
              <w:rPr>
                <w:rFonts w:eastAsia="仿宋_GB2312"/>
                <w:color w:val="auto"/>
                <w:sz w:val="24"/>
              </w:rPr>
              <w:t>土地使用权法定最高出让年限</w:t>
            </w:r>
          </w:p>
        </w:tc>
      </w:tr>
      <w:tr>
        <w:tblPrEx>
          <w:tblCellMar>
            <w:top w:w="0" w:type="dxa"/>
            <w:left w:w="108" w:type="dxa"/>
            <w:bottom w:w="0" w:type="dxa"/>
            <w:right w:w="108" w:type="dxa"/>
          </w:tblCellMar>
        </w:tblPrEx>
        <w:trPr>
          <w:trHeight w:val="482" w:hRule="atLeast"/>
          <w:jc w:val="center"/>
        </w:trPr>
        <w:tc>
          <w:tcPr>
            <w:tcW w:w="458" w:type="dxa"/>
            <w:vAlign w:val="center"/>
          </w:tcPr>
          <w:p>
            <w:pPr>
              <w:adjustRightInd w:val="0"/>
              <w:snapToGrid w:val="0"/>
              <w:spacing w:line="312" w:lineRule="auto"/>
              <w:rPr>
                <w:rFonts w:eastAsia="仿宋_GB2312"/>
                <w:i/>
                <w:color w:val="auto"/>
                <w:sz w:val="24"/>
              </w:rPr>
            </w:pPr>
            <w:r>
              <w:rPr>
                <w:rFonts w:eastAsia="仿宋_GB2312"/>
                <w:i/>
                <w:color w:val="auto"/>
                <w:sz w:val="24"/>
              </w:rPr>
              <w:t>r</w:t>
            </w:r>
          </w:p>
        </w:tc>
        <w:tc>
          <w:tcPr>
            <w:tcW w:w="646"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54" w:type="dxa"/>
            <w:vAlign w:val="center"/>
          </w:tcPr>
          <w:p>
            <w:pPr>
              <w:adjustRightInd w:val="0"/>
              <w:snapToGrid w:val="0"/>
              <w:spacing w:line="312" w:lineRule="auto"/>
              <w:rPr>
                <w:rFonts w:eastAsia="仿宋_GB2312"/>
                <w:color w:val="auto"/>
                <w:sz w:val="24"/>
              </w:rPr>
            </w:pPr>
            <w:r>
              <w:rPr>
                <w:rFonts w:eastAsia="仿宋_GB2312"/>
                <w:color w:val="auto"/>
                <w:sz w:val="24"/>
              </w:rPr>
              <w:t>土地</w:t>
            </w:r>
            <w:r>
              <w:rPr>
                <w:rFonts w:hint="eastAsia" w:eastAsia="仿宋_GB2312"/>
                <w:color w:val="auto"/>
                <w:sz w:val="24"/>
              </w:rPr>
              <w:t>还原率</w:t>
            </w:r>
          </w:p>
        </w:tc>
      </w:tr>
    </w:tbl>
    <w:p>
      <w:pPr>
        <w:keepNext/>
        <w:adjustRightInd w:val="0"/>
        <w:snapToGrid w:val="0"/>
        <w:spacing w:before="93" w:beforeLines="30" w:line="288" w:lineRule="auto"/>
        <w:jc w:val="center"/>
        <w:rPr>
          <w:rFonts w:eastAsia="仿宋_GB2312"/>
          <w:b/>
          <w:bCs/>
          <w:color w:val="auto"/>
          <w:sz w:val="24"/>
        </w:rPr>
      </w:pPr>
    </w:p>
    <w:p>
      <w:pPr>
        <w:keepNext/>
        <w:adjustRightInd w:val="0"/>
        <w:snapToGrid w:val="0"/>
        <w:spacing w:before="93" w:beforeLines="30" w:line="288" w:lineRule="auto"/>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4-4-8 </w:t>
      </w:r>
      <w:r>
        <w:rPr>
          <w:rFonts w:eastAsia="仿宋_GB2312"/>
          <w:b/>
          <w:color w:val="auto"/>
          <w:sz w:val="24"/>
        </w:rPr>
        <w:t>工业用地</w:t>
      </w:r>
      <w:r>
        <w:rPr>
          <w:rFonts w:hint="eastAsia" w:eastAsia="仿宋_GB2312"/>
          <w:b/>
          <w:color w:val="auto"/>
          <w:sz w:val="24"/>
        </w:rPr>
        <w:t>剩余</w:t>
      </w:r>
      <w:r>
        <w:rPr>
          <w:rFonts w:eastAsia="仿宋_GB2312"/>
          <w:b/>
          <w:color w:val="auto"/>
          <w:sz w:val="24"/>
        </w:rPr>
        <w:t>使用年期修正系数表</w:t>
      </w:r>
    </w:p>
    <w:tbl>
      <w:tblPr>
        <w:tblStyle w:val="88"/>
        <w:tblW w:w="9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829"/>
        <w:gridCol w:w="829"/>
        <w:gridCol w:w="829"/>
        <w:gridCol w:w="829"/>
        <w:gridCol w:w="829"/>
        <w:gridCol w:w="829"/>
        <w:gridCol w:w="829"/>
        <w:gridCol w:w="829"/>
        <w:gridCol w:w="829"/>
        <w:gridCol w:w="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使用年限</w:t>
            </w:r>
            <w:bookmarkStart w:id="59" w:name="_GoBack"/>
            <w:bookmarkEnd w:id="59"/>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7</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8</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0.0522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0.1019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0.1492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0.1942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0.2372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0.2780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0.3170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0.3540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0.3893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0.4230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使用年限</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17</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18</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0.4550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0.4855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0.5145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0.5422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0.5686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0.5937</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0.6176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0.6403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0.6620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0.6826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使用年限</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27</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28</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29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0.7023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0.7210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0.7389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0.7558</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0.7720</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0.7874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0.8021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0.8161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0.8294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keepNext/>
              <w:keepLines/>
              <w:adjustRightInd w:val="0"/>
              <w:snapToGrid w:val="0"/>
              <w:spacing w:line="240" w:lineRule="auto"/>
              <w:jc w:val="center"/>
              <w:rPr>
                <w:rFonts w:eastAsia="仿宋_GB2312"/>
                <w:b/>
                <w:bCs/>
                <w:color w:val="auto"/>
                <w:kern w:val="0"/>
                <w:sz w:val="24"/>
              </w:rPr>
            </w:pPr>
            <w:r>
              <w:rPr>
                <w:rFonts w:eastAsia="仿宋_GB2312"/>
                <w:b/>
                <w:bCs/>
                <w:color w:val="auto"/>
                <w:kern w:val="0"/>
                <w:sz w:val="24"/>
              </w:rPr>
              <w:t>使用年限</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31</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32</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33</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34</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35</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36</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37</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38</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39</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keepNext/>
              <w:keepLines/>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0.8541</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0.8656</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0.8766</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0.8870</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0.8969</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0.9064</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0.9154</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0.9240</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0.9321</w:t>
            </w:r>
          </w:p>
        </w:tc>
        <w:tc>
          <w:tcPr>
            <w:tcW w:w="829" w:type="dxa"/>
            <w:vAlign w:val="center"/>
          </w:tcPr>
          <w:p>
            <w:pPr>
              <w:keepNext/>
              <w:keepLines/>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使用年限</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47</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48</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49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23" w:type="dxa"/>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0.9473</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0.9544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0.9611</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0.9675</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0.9736</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0.9794</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0.9849</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0.9902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0.9952</w:t>
            </w:r>
          </w:p>
        </w:tc>
        <w:tc>
          <w:tcPr>
            <w:tcW w:w="829" w:type="dxa"/>
            <w:vAlign w:val="center"/>
          </w:tcPr>
          <w:p>
            <w:pPr>
              <w:adjustRightInd w:val="0"/>
              <w:snapToGrid w:val="0"/>
              <w:spacing w:line="240" w:lineRule="auto"/>
              <w:jc w:val="center"/>
              <w:rPr>
                <w:rFonts w:eastAsia="仿宋_GB2312"/>
                <w:color w:val="auto"/>
                <w:kern w:val="0"/>
                <w:sz w:val="22"/>
                <w:szCs w:val="22"/>
              </w:rPr>
            </w:pPr>
            <w:r>
              <w:rPr>
                <w:rFonts w:eastAsia="仿宋_GB2312"/>
                <w:color w:val="auto"/>
                <w:kern w:val="0"/>
                <w:sz w:val="22"/>
                <w:szCs w:val="22"/>
              </w:rPr>
              <w:t>1.0000</w:t>
            </w:r>
          </w:p>
        </w:tc>
      </w:tr>
    </w:tbl>
    <w:p>
      <w:pPr>
        <w:adjustRightInd w:val="0"/>
        <w:snapToGrid w:val="0"/>
        <w:spacing w:line="264" w:lineRule="auto"/>
        <w:ind w:firstLine="420" w:firstLineChars="200"/>
        <w:rPr>
          <w:rFonts w:hint="eastAsia" w:eastAsia="仿宋_GB2312"/>
          <w:color w:val="auto"/>
          <w:lang w:eastAsia="zh-CN"/>
        </w:rPr>
      </w:pPr>
      <w:r>
        <w:rPr>
          <w:rFonts w:eastAsia="仿宋_GB2312"/>
          <w:color w:val="auto"/>
        </w:rPr>
        <w:t>注：</w:t>
      </w:r>
      <w:r>
        <w:rPr>
          <w:rFonts w:hint="eastAsia" w:eastAsia="仿宋_GB2312" w:cs="宋体"/>
          <w:color w:val="auto"/>
        </w:rPr>
        <w:t>①</w:t>
      </w:r>
      <w:r>
        <w:rPr>
          <w:rFonts w:eastAsia="仿宋_GB2312"/>
          <w:color w:val="auto"/>
        </w:rPr>
        <w:t>在进行宗地评估时可根据公式</w:t>
      </w:r>
      <w:r>
        <w:rPr>
          <w:rFonts w:eastAsia="仿宋_GB2312"/>
          <w:i/>
          <w:iCs/>
          <w:color w:val="auto"/>
        </w:rPr>
        <w:t>K</w:t>
      </w:r>
      <w:r>
        <w:rPr>
          <w:rFonts w:eastAsia="仿宋_GB2312"/>
          <w:i/>
          <w:iCs/>
          <w:color w:val="auto"/>
          <w:vertAlign w:val="subscript"/>
        </w:rPr>
        <w:t>y</w:t>
      </w:r>
      <w:r>
        <w:rPr>
          <w:rFonts w:eastAsia="仿宋_GB2312"/>
          <w:i/>
          <w:iCs/>
          <w:color w:val="auto"/>
        </w:rPr>
        <w:t>=[1－（1÷（1+r）</w:t>
      </w:r>
      <w:r>
        <w:rPr>
          <w:rFonts w:eastAsia="仿宋_GB2312"/>
          <w:i/>
          <w:iCs/>
          <w:color w:val="auto"/>
          <w:vertAlign w:val="superscript"/>
        </w:rPr>
        <w:t>ml</w:t>
      </w:r>
      <w:r>
        <w:rPr>
          <w:rFonts w:eastAsia="仿宋_GB2312"/>
          <w:i/>
          <w:iCs/>
          <w:color w:val="auto"/>
        </w:rPr>
        <w:t>）]÷[1－[1÷（1+r）</w:t>
      </w:r>
      <w:r>
        <w:rPr>
          <w:rFonts w:eastAsia="仿宋_GB2312"/>
          <w:i/>
          <w:iCs/>
          <w:color w:val="auto"/>
          <w:vertAlign w:val="superscript"/>
        </w:rPr>
        <w:t>m</w:t>
      </w:r>
      <w:r>
        <w:rPr>
          <w:rFonts w:eastAsia="仿宋_GB2312"/>
          <w:i/>
          <w:iCs/>
          <w:color w:val="auto"/>
        </w:rPr>
        <w:t>]</w:t>
      </w:r>
      <w:r>
        <w:rPr>
          <w:rFonts w:eastAsia="仿宋_GB2312"/>
          <w:color w:val="auto"/>
        </w:rPr>
        <w:t>直接计算</w:t>
      </w:r>
      <w:r>
        <w:rPr>
          <w:rFonts w:hint="eastAsia" w:eastAsia="仿宋_GB2312"/>
          <w:color w:val="auto"/>
          <w:lang w:eastAsia="zh-CN"/>
        </w:rPr>
        <w:t>。</w:t>
      </w:r>
    </w:p>
    <w:p>
      <w:pPr>
        <w:adjustRightInd w:val="0"/>
        <w:snapToGrid w:val="0"/>
        <w:spacing w:line="264" w:lineRule="auto"/>
        <w:ind w:firstLine="420" w:firstLineChars="200"/>
        <w:rPr>
          <w:rFonts w:hint="eastAsia" w:eastAsia="仿宋_GB2312" w:cs="宋体"/>
          <w:color w:val="auto"/>
        </w:rPr>
      </w:pPr>
      <w:r>
        <w:rPr>
          <w:rFonts w:hint="eastAsia" w:eastAsia="仿宋_GB2312" w:cs="宋体"/>
          <w:color w:val="auto"/>
        </w:rPr>
        <w:t>②表中为工业用地还原率取5.00％条件下的年期修正系数。</w:t>
      </w:r>
    </w:p>
    <w:p>
      <w:pPr>
        <w:adjustRightInd w:val="0"/>
        <w:snapToGrid w:val="0"/>
        <w:spacing w:line="264" w:lineRule="auto"/>
        <w:ind w:firstLine="420" w:firstLineChars="200"/>
        <w:rPr>
          <w:rFonts w:eastAsia="仿宋_GB2312"/>
          <w:color w:val="auto"/>
        </w:rPr>
      </w:pPr>
      <w:r>
        <w:rPr>
          <w:rFonts w:hint="eastAsia" w:eastAsia="仿宋_GB2312" w:cs="宋体"/>
          <w:color w:val="auto"/>
        </w:rPr>
        <w:t>③根据《广东省人民政府关于印发广东省降低制造业企业成本支持实体经济发展若干政策措施（修订版）的通知》（粤府〔2018〕79号），工业用地出让最长年限为50年，根据企业意愿，对有弹性用地出让需求的工业企业实行弹性年期出让供地，按照出让年期与工业用地可出让最高年期的比值确定年期修正系数，对届满符合续期使用条件的，可采用协议出让方式续期</w:t>
      </w:r>
      <w:r>
        <w:rPr>
          <w:rFonts w:eastAsia="仿宋_GB2312"/>
          <w:color w:val="auto"/>
        </w:rPr>
        <w:t>。</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（4）个别因素修正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①临路条件修正</w:t>
      </w:r>
    </w:p>
    <w:p>
      <w:pPr>
        <w:adjustRightInd w:val="0"/>
        <w:snapToGrid w:val="0"/>
        <w:spacing w:line="312" w:lineRule="auto"/>
        <w:ind w:firstLine="481" w:firstLineChars="200"/>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4-4-9  </w:t>
      </w:r>
      <w:r>
        <w:rPr>
          <w:rFonts w:eastAsia="仿宋_GB2312"/>
          <w:b/>
          <w:color w:val="auto"/>
          <w:sz w:val="24"/>
        </w:rPr>
        <w:t>临路条件修正系数表</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3"/>
        <w:gridCol w:w="1781"/>
        <w:gridCol w:w="1990"/>
        <w:gridCol w:w="1781"/>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51" w:type="pct"/>
            <w:vAlign w:val="center"/>
          </w:tcPr>
          <w:p>
            <w:pPr>
              <w:adjustRightInd w:val="0"/>
              <w:snapToGrid w:val="0"/>
              <w:jc w:val="center"/>
              <w:rPr>
                <w:rFonts w:eastAsia="仿宋_GB2312"/>
                <w:b/>
                <w:bCs/>
                <w:color w:val="auto"/>
                <w:kern w:val="0"/>
                <w:sz w:val="24"/>
                <w:szCs w:val="21"/>
              </w:rPr>
            </w:pPr>
            <w:r>
              <w:rPr>
                <w:rFonts w:hint="eastAsia" w:eastAsia="仿宋_GB2312"/>
                <w:b/>
                <w:bCs/>
                <w:color w:val="auto"/>
                <w:kern w:val="0"/>
                <w:sz w:val="24"/>
                <w:szCs w:val="21"/>
              </w:rPr>
              <w:t>临路状况</w:t>
            </w:r>
          </w:p>
        </w:tc>
        <w:tc>
          <w:tcPr>
            <w:tcW w:w="983" w:type="pct"/>
            <w:vAlign w:val="center"/>
          </w:tcPr>
          <w:p>
            <w:pPr>
              <w:adjustRightInd w:val="0"/>
              <w:snapToGrid w:val="0"/>
              <w:jc w:val="center"/>
              <w:rPr>
                <w:rFonts w:eastAsia="仿宋_GB2312"/>
                <w:b/>
                <w:bCs/>
                <w:color w:val="auto"/>
                <w:kern w:val="0"/>
                <w:sz w:val="24"/>
                <w:szCs w:val="21"/>
              </w:rPr>
            </w:pPr>
            <w:r>
              <w:rPr>
                <w:rFonts w:hint="eastAsia" w:eastAsia="仿宋_GB2312"/>
                <w:b/>
                <w:bCs/>
                <w:color w:val="auto"/>
                <w:kern w:val="0"/>
                <w:sz w:val="24"/>
                <w:szCs w:val="21"/>
              </w:rPr>
              <w:t>临主干道</w:t>
            </w:r>
          </w:p>
        </w:tc>
        <w:tc>
          <w:tcPr>
            <w:tcW w:w="1098" w:type="pct"/>
            <w:vAlign w:val="center"/>
          </w:tcPr>
          <w:p>
            <w:pPr>
              <w:adjustRightInd w:val="0"/>
              <w:snapToGrid w:val="0"/>
              <w:jc w:val="center"/>
              <w:rPr>
                <w:rFonts w:eastAsia="仿宋_GB2312"/>
                <w:b/>
                <w:bCs/>
                <w:color w:val="auto"/>
                <w:kern w:val="0"/>
                <w:sz w:val="24"/>
                <w:szCs w:val="21"/>
              </w:rPr>
            </w:pPr>
            <w:r>
              <w:rPr>
                <w:rFonts w:hint="eastAsia" w:eastAsia="仿宋_GB2312"/>
                <w:b/>
                <w:bCs/>
                <w:color w:val="auto"/>
                <w:kern w:val="0"/>
                <w:sz w:val="24"/>
                <w:szCs w:val="21"/>
              </w:rPr>
              <w:t>临次干道</w:t>
            </w:r>
          </w:p>
        </w:tc>
        <w:tc>
          <w:tcPr>
            <w:tcW w:w="983" w:type="pct"/>
            <w:vAlign w:val="center"/>
          </w:tcPr>
          <w:p>
            <w:pPr>
              <w:adjustRightInd w:val="0"/>
              <w:snapToGrid w:val="0"/>
              <w:jc w:val="center"/>
              <w:rPr>
                <w:rFonts w:eastAsia="仿宋_GB2312"/>
                <w:b/>
                <w:bCs/>
                <w:color w:val="auto"/>
                <w:kern w:val="0"/>
                <w:sz w:val="24"/>
                <w:szCs w:val="21"/>
              </w:rPr>
            </w:pPr>
            <w:r>
              <w:rPr>
                <w:rFonts w:hint="eastAsia" w:eastAsia="仿宋_GB2312"/>
                <w:b/>
                <w:bCs/>
                <w:color w:val="auto"/>
                <w:kern w:val="0"/>
                <w:sz w:val="24"/>
                <w:szCs w:val="21"/>
              </w:rPr>
              <w:t>临支路</w:t>
            </w:r>
          </w:p>
        </w:tc>
        <w:tc>
          <w:tcPr>
            <w:tcW w:w="983" w:type="pct"/>
            <w:vAlign w:val="center"/>
          </w:tcPr>
          <w:p>
            <w:pPr>
              <w:adjustRightInd w:val="0"/>
              <w:snapToGrid w:val="0"/>
              <w:jc w:val="center"/>
              <w:rPr>
                <w:rFonts w:eastAsia="仿宋_GB2312"/>
                <w:b/>
                <w:bCs/>
                <w:color w:val="auto"/>
                <w:kern w:val="0"/>
                <w:sz w:val="24"/>
                <w:szCs w:val="21"/>
              </w:rPr>
            </w:pPr>
            <w:r>
              <w:rPr>
                <w:rFonts w:hint="eastAsia" w:eastAsia="仿宋_GB2312"/>
                <w:b/>
                <w:bCs/>
                <w:color w:val="auto"/>
                <w:kern w:val="0"/>
                <w:sz w:val="24"/>
                <w:szCs w:val="21"/>
              </w:rPr>
              <w:t>不临路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51" w:type="pct"/>
            <w:vAlign w:val="center"/>
          </w:tcPr>
          <w:p>
            <w:pPr>
              <w:adjustRightInd w:val="0"/>
              <w:snapToGrid w:val="0"/>
              <w:jc w:val="center"/>
              <w:rPr>
                <w:rFonts w:eastAsia="仿宋_GB2312"/>
                <w:b/>
                <w:color w:val="auto"/>
                <w:kern w:val="0"/>
                <w:sz w:val="24"/>
                <w:szCs w:val="21"/>
              </w:rPr>
            </w:pPr>
            <w:r>
              <w:rPr>
                <w:rFonts w:hint="eastAsia" w:eastAsia="仿宋_GB2312"/>
                <w:b/>
                <w:color w:val="auto"/>
                <w:kern w:val="0"/>
                <w:sz w:val="24"/>
                <w:szCs w:val="21"/>
              </w:rPr>
              <w:t>修正系数</w:t>
            </w:r>
          </w:p>
        </w:tc>
        <w:tc>
          <w:tcPr>
            <w:tcW w:w="983" w:type="pct"/>
            <w:vAlign w:val="center"/>
          </w:tcPr>
          <w:p>
            <w:pPr>
              <w:adjustRightInd w:val="0"/>
              <w:snapToGrid w:val="0"/>
              <w:jc w:val="center"/>
              <w:rPr>
                <w:rFonts w:eastAsia="仿宋_GB2312"/>
                <w:color w:val="auto"/>
                <w:kern w:val="0"/>
                <w:sz w:val="24"/>
                <w:szCs w:val="21"/>
                <w:highlight w:val="none"/>
              </w:rPr>
            </w:pPr>
            <w:r>
              <w:rPr>
                <w:rFonts w:hint="eastAsia" w:eastAsia="仿宋_GB2312"/>
                <w:color w:val="auto"/>
                <w:kern w:val="0"/>
                <w:sz w:val="24"/>
                <w:szCs w:val="21"/>
                <w:highlight w:val="none"/>
              </w:rPr>
              <w:t>1.10~1.15</w:t>
            </w:r>
          </w:p>
        </w:tc>
        <w:tc>
          <w:tcPr>
            <w:tcW w:w="1098" w:type="pct"/>
            <w:vAlign w:val="center"/>
          </w:tcPr>
          <w:p>
            <w:pPr>
              <w:adjustRightInd w:val="0"/>
              <w:snapToGrid w:val="0"/>
              <w:jc w:val="center"/>
              <w:rPr>
                <w:rFonts w:eastAsia="仿宋_GB2312"/>
                <w:color w:val="auto"/>
                <w:kern w:val="0"/>
                <w:sz w:val="24"/>
                <w:szCs w:val="21"/>
                <w:highlight w:val="none"/>
              </w:rPr>
            </w:pPr>
            <w:r>
              <w:rPr>
                <w:rFonts w:hint="eastAsia" w:eastAsia="仿宋_GB2312"/>
                <w:color w:val="auto"/>
                <w:kern w:val="0"/>
                <w:sz w:val="24"/>
                <w:szCs w:val="21"/>
                <w:highlight w:val="none"/>
              </w:rPr>
              <w:t>1.00~1.10</w:t>
            </w:r>
          </w:p>
        </w:tc>
        <w:tc>
          <w:tcPr>
            <w:tcW w:w="983" w:type="pct"/>
            <w:vAlign w:val="center"/>
          </w:tcPr>
          <w:p>
            <w:pPr>
              <w:adjustRightInd w:val="0"/>
              <w:snapToGrid w:val="0"/>
              <w:jc w:val="center"/>
              <w:rPr>
                <w:rFonts w:eastAsia="仿宋_GB2312"/>
                <w:color w:val="auto"/>
                <w:kern w:val="0"/>
                <w:sz w:val="24"/>
                <w:szCs w:val="21"/>
                <w:highlight w:val="none"/>
              </w:rPr>
            </w:pPr>
            <w:r>
              <w:rPr>
                <w:rFonts w:eastAsia="仿宋_GB2312"/>
                <w:color w:val="auto"/>
                <w:kern w:val="0"/>
                <w:sz w:val="24"/>
                <w:szCs w:val="21"/>
                <w:highlight w:val="none"/>
              </w:rPr>
              <w:t>0.95</w:t>
            </w:r>
            <w:r>
              <w:rPr>
                <w:rFonts w:hint="eastAsia" w:eastAsia="仿宋_GB2312"/>
                <w:color w:val="auto"/>
                <w:kern w:val="0"/>
                <w:sz w:val="24"/>
                <w:szCs w:val="21"/>
                <w:highlight w:val="none"/>
              </w:rPr>
              <w:t>~1.00</w:t>
            </w:r>
          </w:p>
        </w:tc>
        <w:tc>
          <w:tcPr>
            <w:tcW w:w="983" w:type="pct"/>
            <w:vAlign w:val="center"/>
          </w:tcPr>
          <w:p>
            <w:pPr>
              <w:adjustRightInd w:val="0"/>
              <w:snapToGrid w:val="0"/>
              <w:jc w:val="center"/>
              <w:rPr>
                <w:rFonts w:eastAsia="仿宋_GB2312"/>
                <w:color w:val="auto"/>
                <w:kern w:val="0"/>
                <w:sz w:val="24"/>
                <w:szCs w:val="21"/>
                <w:highlight w:val="none"/>
              </w:rPr>
            </w:pPr>
            <w:r>
              <w:rPr>
                <w:rFonts w:eastAsia="仿宋_GB2312"/>
                <w:color w:val="auto"/>
                <w:kern w:val="0"/>
                <w:sz w:val="24"/>
                <w:szCs w:val="21"/>
                <w:highlight w:val="none"/>
              </w:rPr>
              <w:t>0.90</w:t>
            </w:r>
            <w:r>
              <w:rPr>
                <w:rFonts w:hint="eastAsia" w:eastAsia="仿宋_GB2312"/>
                <w:color w:val="auto"/>
                <w:kern w:val="0"/>
                <w:sz w:val="24"/>
                <w:szCs w:val="21"/>
                <w:highlight w:val="none"/>
              </w:rPr>
              <w:t>~0.95</w:t>
            </w:r>
          </w:p>
        </w:tc>
      </w:tr>
    </w:tbl>
    <w:p>
      <w:pPr>
        <w:adjustRightInd w:val="0"/>
        <w:snapToGrid w:val="0"/>
        <w:spacing w:before="78" w:beforeLines="25" w:line="264" w:lineRule="auto"/>
        <w:ind w:firstLine="420" w:firstLineChars="200"/>
        <w:rPr>
          <w:rFonts w:eastAsia="仿宋_GB2312"/>
          <w:color w:val="auto"/>
          <w:szCs w:val="21"/>
        </w:rPr>
      </w:pPr>
      <w:r>
        <w:rPr>
          <w:rFonts w:eastAsia="仿宋_GB2312"/>
          <w:color w:val="auto"/>
          <w:szCs w:val="21"/>
        </w:rPr>
        <w:t>注：确定临路条件及对应修正系数时，应根据主、次干线、分支线路等道路情况、所临道路与同级别同类型道路对比情况等，酌情选用上限值、中间值或下限值，并在评估技术报告中做相应说明。</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②其他个别因素修正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其他个别因素修正系数（Kg）的计算公式为：</w:t>
      </w:r>
    </w:p>
    <w:p>
      <w:pPr>
        <w:adjustRightInd w:val="0"/>
        <w:snapToGrid w:val="0"/>
        <w:spacing w:line="312" w:lineRule="auto"/>
        <w:ind w:firstLine="281" w:firstLineChars="100"/>
        <w:jc w:val="center"/>
        <w:rPr>
          <w:rFonts w:eastAsia="仿宋_GB2312"/>
          <w:b/>
          <w:i/>
          <w:color w:val="auto"/>
          <w:sz w:val="28"/>
        </w:rPr>
      </w:pPr>
      <w:r>
        <w:rPr>
          <w:rFonts w:eastAsia="仿宋_GB2312"/>
          <w:b/>
          <w:i/>
          <w:color w:val="auto"/>
          <w:sz w:val="28"/>
        </w:rPr>
        <w:t>K</w:t>
      </w:r>
      <w:r>
        <w:rPr>
          <w:rFonts w:eastAsia="仿宋_GB2312"/>
          <w:b/>
          <w:i/>
          <w:color w:val="auto"/>
          <w:sz w:val="28"/>
          <w:vertAlign w:val="subscript"/>
        </w:rPr>
        <w:t>g</w:t>
      </w:r>
      <w:r>
        <w:rPr>
          <w:rFonts w:eastAsia="仿宋_GB2312"/>
          <w:b/>
          <w:i/>
          <w:color w:val="auto"/>
          <w:sz w:val="28"/>
        </w:rPr>
        <w:t>=∏（1+K</w:t>
      </w:r>
      <w:r>
        <w:rPr>
          <w:rFonts w:eastAsia="仿宋_GB2312"/>
          <w:b/>
          <w:i/>
          <w:color w:val="auto"/>
          <w:sz w:val="28"/>
          <w:vertAlign w:val="subscript"/>
        </w:rPr>
        <w:t>gi</w:t>
      </w:r>
      <w:r>
        <w:rPr>
          <w:rFonts w:eastAsia="仿宋_GB2312"/>
          <w:b/>
          <w:i/>
          <w:color w:val="auto"/>
          <w:sz w:val="28"/>
        </w:rPr>
        <w:t>）</w:t>
      </w:r>
    </w:p>
    <w:p>
      <w:pPr>
        <w:keepNext/>
        <w:adjustRightInd w:val="0"/>
        <w:snapToGrid w:val="0"/>
        <w:spacing w:line="312" w:lineRule="auto"/>
        <w:jc w:val="center"/>
        <w:rPr>
          <w:rFonts w:eastAsia="仿宋_GB2312"/>
          <w:b/>
          <w:bCs/>
          <w:color w:val="auto"/>
          <w:sz w:val="24"/>
        </w:rPr>
      </w:pPr>
    </w:p>
    <w:p>
      <w:pPr>
        <w:keepNext/>
        <w:adjustRightInd w:val="0"/>
        <w:snapToGrid w:val="0"/>
        <w:spacing w:line="312" w:lineRule="auto"/>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4-4-10  </w:t>
      </w:r>
      <w:r>
        <w:rPr>
          <w:rFonts w:eastAsia="仿宋_GB2312"/>
          <w:b/>
          <w:color w:val="auto"/>
          <w:sz w:val="24"/>
        </w:rPr>
        <w:t>工业用地</w:t>
      </w:r>
      <w:r>
        <w:rPr>
          <w:rFonts w:hint="eastAsia" w:eastAsia="仿宋_GB2312"/>
          <w:b/>
          <w:color w:val="auto"/>
          <w:sz w:val="24"/>
        </w:rPr>
        <w:t>其他</w:t>
      </w:r>
      <w:r>
        <w:rPr>
          <w:rFonts w:eastAsia="仿宋_GB2312"/>
          <w:b/>
          <w:color w:val="auto"/>
          <w:sz w:val="24"/>
        </w:rPr>
        <w:t>个别因素修正系数表</w:t>
      </w:r>
    </w:p>
    <w:tbl>
      <w:tblPr>
        <w:tblStyle w:val="88"/>
        <w:tblW w:w="9216" w:type="dxa"/>
        <w:jc w:val="center"/>
        <w:tblLayout w:type="fixed"/>
        <w:tblCellMar>
          <w:top w:w="0" w:type="dxa"/>
          <w:left w:w="108" w:type="dxa"/>
          <w:bottom w:w="0" w:type="dxa"/>
          <w:right w:w="108" w:type="dxa"/>
        </w:tblCellMar>
      </w:tblPr>
      <w:tblGrid>
        <w:gridCol w:w="1282"/>
        <w:gridCol w:w="1511"/>
        <w:gridCol w:w="1710"/>
        <w:gridCol w:w="1416"/>
        <w:gridCol w:w="1620"/>
        <w:gridCol w:w="1677"/>
      </w:tblGrid>
      <w:tr>
        <w:tblPrEx>
          <w:tblCellMar>
            <w:top w:w="0" w:type="dxa"/>
            <w:left w:w="108" w:type="dxa"/>
            <w:bottom w:w="0" w:type="dxa"/>
            <w:right w:w="108" w:type="dxa"/>
          </w:tblCellMar>
        </w:tblPrEx>
        <w:trPr>
          <w:trHeight w:val="567" w:hRule="atLeast"/>
          <w:tblHeader/>
          <w:jc w:val="center"/>
        </w:trPr>
        <w:tc>
          <w:tcPr>
            <w:tcW w:w="1282"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b/>
                <w:bCs/>
                <w:color w:val="auto"/>
                <w:kern w:val="0"/>
                <w:sz w:val="24"/>
              </w:rPr>
            </w:pPr>
            <w:r>
              <w:rPr>
                <w:rFonts w:eastAsia="仿宋_GB2312"/>
                <w:b/>
                <w:bCs/>
                <w:color w:val="auto"/>
                <w:kern w:val="0"/>
                <w:sz w:val="24"/>
              </w:rPr>
              <w:t>优劣度</w:t>
            </w:r>
          </w:p>
          <w:p>
            <w:pPr>
              <w:adjustRightInd w:val="0"/>
              <w:snapToGrid w:val="0"/>
              <w:spacing w:line="240" w:lineRule="auto"/>
              <w:rPr>
                <w:rFonts w:eastAsia="仿宋_GB2312"/>
                <w:b/>
                <w:bCs/>
                <w:color w:val="auto"/>
                <w:kern w:val="0"/>
                <w:sz w:val="24"/>
              </w:rPr>
            </w:pPr>
            <w:r>
              <w:rPr>
                <w:rFonts w:eastAsia="仿宋_GB2312"/>
                <w:b/>
                <w:bCs/>
                <w:color w:val="auto"/>
                <w:kern w:val="0"/>
                <w:sz w:val="24"/>
              </w:rPr>
              <w:t>因素</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优</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较优</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一般</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较劣</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劣</w:t>
            </w:r>
          </w:p>
        </w:tc>
      </w:tr>
      <w:tr>
        <w:tblPrEx>
          <w:tblCellMar>
            <w:top w:w="0" w:type="dxa"/>
            <w:left w:w="108" w:type="dxa"/>
            <w:bottom w:w="0" w:type="dxa"/>
            <w:right w:w="108" w:type="dxa"/>
          </w:tblCellMar>
        </w:tblPrEx>
        <w:trPr>
          <w:trHeight w:val="839"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宗地面积</w:t>
            </w:r>
          </w:p>
        </w:tc>
        <w:tc>
          <w:tcPr>
            <w:tcW w:w="1511"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olor w:val="auto"/>
                <w:kern w:val="0"/>
                <w:sz w:val="24"/>
              </w:rPr>
            </w:pPr>
            <w:r>
              <w:rPr>
                <w:rFonts w:eastAsia="仿宋_GB2312"/>
                <w:color w:val="auto"/>
                <w:kern w:val="0"/>
                <w:sz w:val="24"/>
              </w:rPr>
              <w:t>面积适中，对土地利用极为有利</w:t>
            </w:r>
          </w:p>
        </w:tc>
        <w:tc>
          <w:tcPr>
            <w:tcW w:w="1710"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olor w:val="auto"/>
                <w:kern w:val="0"/>
                <w:sz w:val="24"/>
              </w:rPr>
            </w:pPr>
            <w:r>
              <w:rPr>
                <w:rFonts w:eastAsia="仿宋_GB2312"/>
                <w:color w:val="auto"/>
                <w:kern w:val="0"/>
                <w:sz w:val="24"/>
              </w:rPr>
              <w:t>面积对土地利用较为有利</w:t>
            </w:r>
          </w:p>
        </w:tc>
        <w:tc>
          <w:tcPr>
            <w:tcW w:w="1416"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olor w:val="auto"/>
                <w:kern w:val="0"/>
                <w:sz w:val="24"/>
              </w:rPr>
            </w:pPr>
            <w:r>
              <w:rPr>
                <w:rFonts w:eastAsia="仿宋_GB2312"/>
                <w:color w:val="auto"/>
                <w:kern w:val="0"/>
                <w:sz w:val="24"/>
              </w:rPr>
              <w:t>面积对土地利用无不良影响</w:t>
            </w:r>
          </w:p>
        </w:tc>
        <w:tc>
          <w:tcPr>
            <w:tcW w:w="1620"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olor w:val="auto"/>
                <w:kern w:val="0"/>
                <w:sz w:val="24"/>
              </w:rPr>
            </w:pPr>
            <w:r>
              <w:rPr>
                <w:rFonts w:eastAsia="仿宋_GB2312"/>
                <w:color w:val="auto"/>
                <w:kern w:val="0"/>
                <w:sz w:val="24"/>
              </w:rPr>
              <w:t>面积较小，对土地利用有一定影响</w:t>
            </w:r>
          </w:p>
        </w:tc>
        <w:tc>
          <w:tcPr>
            <w:tcW w:w="1677"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olor w:val="auto"/>
                <w:kern w:val="0"/>
                <w:sz w:val="24"/>
              </w:rPr>
            </w:pPr>
            <w:r>
              <w:rPr>
                <w:rFonts w:eastAsia="仿宋_GB2312"/>
                <w:color w:val="auto"/>
                <w:kern w:val="0"/>
                <w:sz w:val="24"/>
              </w:rPr>
              <w:t>面积过小，对土地利用产生严重影响</w:t>
            </w:r>
          </w:p>
        </w:tc>
      </w:tr>
      <w:tr>
        <w:tblPrEx>
          <w:tblCellMar>
            <w:top w:w="0" w:type="dxa"/>
            <w:left w:w="108" w:type="dxa"/>
            <w:bottom w:w="0" w:type="dxa"/>
            <w:right w:w="108" w:type="dxa"/>
          </w:tblCellMar>
        </w:tblPrEx>
        <w:trPr>
          <w:trHeight w:val="296"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0.02</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trHeight w:val="839"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宗地形状</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形状规则，利于布局</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形状较规则，较利于布局</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形状一般，不影响布局</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形状不规则，对布局有一定影响</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形状不规则，较难布局</w:t>
            </w:r>
          </w:p>
        </w:tc>
      </w:tr>
      <w:tr>
        <w:tblPrEx>
          <w:tblCellMar>
            <w:top w:w="0" w:type="dxa"/>
            <w:left w:w="108" w:type="dxa"/>
            <w:bottom w:w="0" w:type="dxa"/>
            <w:right w:w="108" w:type="dxa"/>
          </w:tblCellMar>
        </w:tblPrEx>
        <w:trPr>
          <w:trHeight w:val="296"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0.02</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cantSplit/>
          <w:trHeight w:val="1111"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宗地地势</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地势平坦</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地势较平坦，坡度&lt;2%，对建筑无影响</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地势较平坦，坡度&lt;5%，对建筑影响较小</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地势不太平坦，需考虑坡度的影响</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地势很不平坦，需经过平整才能使用</w:t>
            </w:r>
          </w:p>
        </w:tc>
      </w:tr>
      <w:tr>
        <w:tblPrEx>
          <w:tblCellMar>
            <w:top w:w="0" w:type="dxa"/>
            <w:left w:w="108" w:type="dxa"/>
            <w:bottom w:w="0" w:type="dxa"/>
            <w:right w:w="108" w:type="dxa"/>
          </w:tblCellMar>
        </w:tblPrEx>
        <w:trPr>
          <w:trHeight w:val="296"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0.02</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trHeight w:val="567"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b/>
                <w:bCs/>
                <w:color w:val="auto"/>
                <w:kern w:val="0"/>
                <w:sz w:val="24"/>
              </w:rPr>
            </w:pPr>
            <w:r>
              <w:rPr>
                <w:rFonts w:eastAsia="仿宋_GB2312"/>
                <w:b/>
                <w:bCs/>
                <w:color w:val="auto"/>
                <w:kern w:val="0"/>
                <w:sz w:val="24"/>
              </w:rPr>
              <w:t>宗地地质</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地质条件优</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地质条件较优</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地质条件优一般</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地质条件较差</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地质条件差</w:t>
            </w:r>
          </w:p>
        </w:tc>
      </w:tr>
      <w:tr>
        <w:tblPrEx>
          <w:tblCellMar>
            <w:top w:w="0" w:type="dxa"/>
            <w:left w:w="108" w:type="dxa"/>
            <w:bottom w:w="0" w:type="dxa"/>
            <w:right w:w="108" w:type="dxa"/>
          </w:tblCellMar>
        </w:tblPrEx>
        <w:trPr>
          <w:trHeight w:val="321"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51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0.02</w:t>
            </w:r>
          </w:p>
        </w:tc>
        <w:tc>
          <w:tcPr>
            <w:tcW w:w="171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4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w:t>
            </w:r>
          </w:p>
        </w:tc>
        <w:tc>
          <w:tcPr>
            <w:tcW w:w="16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-0.01</w:t>
            </w:r>
          </w:p>
        </w:tc>
        <w:tc>
          <w:tcPr>
            <w:tcW w:w="16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kern w:val="0"/>
                <w:sz w:val="24"/>
              </w:rPr>
            </w:pPr>
            <w:r>
              <w:rPr>
                <w:rFonts w:eastAsia="仿宋_GB2312"/>
                <w:color w:val="auto"/>
                <w:kern w:val="0"/>
                <w:sz w:val="24"/>
              </w:rPr>
              <w:t>-0.03</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（5）土地开发程度修正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工业用地基准地价为“五通一平（宗地红线外通路、通电、通上水、通下水、通讯，宗地红线内场地平整）”土地开发程度下的熟地价格。当运用基准地价法进行宗地评估时，若宗地未达到或超过基准地价设定开发程度时，应酌情扣除或增加相应开发费用。</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adjustRightInd w:val="0"/>
        <w:snapToGrid w:val="0"/>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4-4-11  </w:t>
      </w:r>
      <w:r>
        <w:rPr>
          <w:rFonts w:eastAsia="仿宋_GB2312"/>
          <w:b/>
          <w:color w:val="auto"/>
          <w:sz w:val="24"/>
        </w:rPr>
        <w:t>土地开发程度修正值表</w:t>
      </w:r>
    </w:p>
    <w:p>
      <w:pPr>
        <w:keepNext/>
        <w:adjustRightInd w:val="0"/>
        <w:snapToGrid w:val="0"/>
        <w:ind w:right="420"/>
        <w:jc w:val="right"/>
        <w:rPr>
          <w:rFonts w:eastAsia="仿宋_GB2312"/>
          <w:color w:val="auto"/>
        </w:rPr>
      </w:pPr>
      <w:r>
        <w:rPr>
          <w:rFonts w:eastAsia="仿宋_GB2312"/>
          <w:color w:val="auto"/>
        </w:rPr>
        <w:t>单位：元/平方米</w:t>
      </w:r>
    </w:p>
    <w:tbl>
      <w:tblPr>
        <w:tblStyle w:val="88"/>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1810"/>
        <w:gridCol w:w="1825"/>
        <w:gridCol w:w="1910"/>
        <w:gridCol w:w="1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通路</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通电</w:t>
            </w:r>
          </w:p>
        </w:tc>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通上水</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30~70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30~50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20~30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通讯</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通燃气</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场地平整</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10~20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w:t>
            </w:r>
            <w:r>
              <w:rPr>
                <w:rFonts w:hint="eastAsia" w:eastAsia="仿宋_GB2312"/>
                <w:color w:val="auto"/>
                <w:kern w:val="0"/>
                <w:sz w:val="24"/>
              </w:rPr>
              <w:t>100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140~</w:t>
            </w:r>
            <w:r>
              <w:rPr>
                <w:rFonts w:hint="eastAsia" w:eastAsia="仿宋_GB2312"/>
                <w:color w:val="auto"/>
                <w:kern w:val="0"/>
                <w:sz w:val="24"/>
              </w:rPr>
              <w:t>330</w:t>
            </w:r>
          </w:p>
        </w:tc>
      </w:tr>
    </w:tbl>
    <w:p>
      <w:pPr>
        <w:adjustRightInd w:val="0"/>
        <w:snapToGrid w:val="0"/>
        <w:spacing w:before="78" w:beforeLines="25" w:line="300" w:lineRule="auto"/>
        <w:ind w:firstLine="420" w:firstLineChars="200"/>
        <w:rPr>
          <w:rFonts w:hint="eastAsia" w:eastAsia="仿宋_GB2312"/>
          <w:color w:val="auto"/>
          <w:szCs w:val="21"/>
          <w:lang w:eastAsia="zh-CN"/>
        </w:rPr>
      </w:pPr>
      <w:r>
        <w:rPr>
          <w:rFonts w:eastAsia="仿宋_GB2312"/>
          <w:color w:val="auto"/>
          <w:szCs w:val="21"/>
        </w:rPr>
        <w:t>注：①通路、通电、</w:t>
      </w:r>
      <w:r>
        <w:rPr>
          <w:rFonts w:hint="eastAsia" w:eastAsia="仿宋_GB2312"/>
          <w:color w:val="auto"/>
          <w:szCs w:val="21"/>
        </w:rPr>
        <w:t>通上水</w:t>
      </w:r>
      <w:r>
        <w:rPr>
          <w:rFonts w:eastAsia="仿宋_GB2312"/>
          <w:color w:val="auto"/>
          <w:szCs w:val="21"/>
        </w:rPr>
        <w:t>、</w:t>
      </w:r>
      <w:r>
        <w:rPr>
          <w:rFonts w:hint="eastAsia" w:eastAsia="仿宋_GB2312"/>
          <w:color w:val="auto"/>
          <w:szCs w:val="21"/>
        </w:rPr>
        <w:t>通下水</w:t>
      </w:r>
      <w:r>
        <w:rPr>
          <w:rFonts w:eastAsia="仿宋_GB2312"/>
          <w:color w:val="auto"/>
          <w:szCs w:val="21"/>
        </w:rPr>
        <w:t>、通讯等分项开发费用，应按主干线、次干线、分支线路等不同酌情选用上限值、中间值或下限值</w:t>
      </w:r>
      <w:r>
        <w:rPr>
          <w:rFonts w:hint="eastAsia" w:eastAsia="仿宋_GB2312"/>
          <w:color w:val="auto"/>
          <w:szCs w:val="21"/>
          <w:lang w:eastAsia="zh-CN"/>
        </w:rPr>
        <w:t>。</w:t>
      </w:r>
    </w:p>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②本表数据为每平方米土地的土地开发程度修正值。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56" w:name="_Toc21426566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r>
        <w:rPr>
          <w:rFonts w:hint="eastAsia" w:ascii="楷体_GB2312" w:hAnsi="楷体_GB2312" w:eastAsia="楷体_GB2312" w:cs="楷体_GB2312"/>
          <w:b w:val="0"/>
          <w:bCs w:val="0"/>
          <w:color w:val="auto"/>
          <w:kern w:val="0"/>
          <w:sz w:val="32"/>
          <w:szCs w:val="32"/>
        </w:rPr>
        <w:t>（五）公共管理与公共服务用地基准地价修正体系</w:t>
      </w:r>
      <w:bookmarkEnd w:id="5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新兴县公共管理与公共服务用地修正体系包括：区域因素修正、容积率修正、剩余使用年期修正、期日修正、个别因素修正、土地开发程度修正和其他用地类型修正等。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计算公式</w:t>
      </w:r>
    </w:p>
    <w:p>
      <w:pPr>
        <w:widowControl/>
        <w:adjustRightInd w:val="0"/>
        <w:snapToGrid w:val="0"/>
        <w:spacing w:line="312" w:lineRule="auto"/>
        <w:jc w:val="center"/>
        <w:textAlignment w:val="baseline"/>
        <w:rPr>
          <w:rFonts w:eastAsia="仿宋_GB2312"/>
          <w:i/>
          <w:color w:val="auto"/>
          <w:kern w:val="28"/>
          <w:sz w:val="28"/>
          <w:szCs w:val="20"/>
        </w:rPr>
      </w:pPr>
      <w:r>
        <w:rPr>
          <w:rFonts w:eastAsia="仿宋_GB2312"/>
          <w:i/>
          <w:color w:val="auto"/>
          <w:kern w:val="28"/>
          <w:sz w:val="28"/>
          <w:szCs w:val="20"/>
        </w:rPr>
        <w:t>P</w:t>
      </w:r>
      <w:r>
        <w:rPr>
          <w:rFonts w:eastAsia="仿宋_GB2312"/>
          <w:i/>
          <w:color w:val="auto"/>
          <w:kern w:val="28"/>
          <w:sz w:val="28"/>
          <w:szCs w:val="20"/>
          <w:vertAlign w:val="subscript"/>
        </w:rPr>
        <w:t>宗</w:t>
      </w:r>
      <w:r>
        <w:rPr>
          <w:rFonts w:eastAsia="仿宋_GB2312"/>
          <w:i/>
          <w:color w:val="auto"/>
          <w:kern w:val="28"/>
          <w:sz w:val="28"/>
          <w:szCs w:val="20"/>
        </w:rPr>
        <w:t>＝P</w:t>
      </w:r>
      <w:r>
        <w:rPr>
          <w:rFonts w:eastAsia="仿宋_GB2312"/>
          <w:i/>
          <w:color w:val="auto"/>
          <w:kern w:val="28"/>
          <w:sz w:val="28"/>
          <w:szCs w:val="20"/>
          <w:vertAlign w:val="subscript"/>
        </w:rPr>
        <w:t>楼</w:t>
      </w:r>
      <w:r>
        <w:rPr>
          <w:rFonts w:eastAsia="仿宋_GB2312"/>
          <w:i/>
          <w:color w:val="auto"/>
          <w:sz w:val="28"/>
          <w:szCs w:val="28"/>
        </w:rPr>
        <w:t>×K</w:t>
      </w:r>
      <w:r>
        <w:rPr>
          <w:rFonts w:eastAsia="仿宋_GB2312"/>
          <w:i/>
          <w:color w:val="auto"/>
          <w:sz w:val="28"/>
          <w:szCs w:val="28"/>
          <w:vertAlign w:val="subscript"/>
        </w:rPr>
        <w:t>t</w:t>
      </w:r>
      <w:r>
        <w:rPr>
          <w:rFonts w:eastAsia="仿宋_GB2312"/>
          <w:i/>
          <w:color w:val="auto"/>
          <w:kern w:val="28"/>
          <w:sz w:val="28"/>
          <w:szCs w:val="20"/>
        </w:rPr>
        <w:t>×（1+</w:t>
      </w:r>
      <m:oMath>
        <m:nary>
          <m:naryPr>
            <m:chr m:val="∑"/>
            <m:limLoc m:val="undOvr"/>
            <m:ctrlPr>
              <w:rPr>
                <w:rFonts w:ascii="Cambria Math" w:hAnsi="Cambria Math" w:eastAsia="仿宋_GB2312"/>
                <w:color w:val="auto"/>
                <w:sz w:val="28"/>
                <w:szCs w:val="28"/>
                <w:vertAlign w:val="subscript"/>
              </w:rPr>
            </m:ctrlPr>
          </m:naryPr>
          <m:sub>
            <m:r>
              <m:rPr/>
              <w:rPr>
                <w:rFonts w:ascii="Cambria Math" w:hAnsi="Cambria Math" w:eastAsia="仿宋_GB2312"/>
                <w:color w:val="auto"/>
                <w:sz w:val="28"/>
                <w:szCs w:val="28"/>
                <w:vertAlign w:val="subscript"/>
              </w:rPr>
              <m:t>i=1</m:t>
            </m:r>
            <m:ctrlPr>
              <w:rPr>
                <w:rFonts w:ascii="Cambria Math" w:hAnsi="Cambria Math" w:eastAsia="仿宋_GB2312"/>
                <w:color w:val="auto"/>
                <w:sz w:val="28"/>
                <w:szCs w:val="28"/>
                <w:vertAlign w:val="subscript"/>
              </w:rPr>
            </m:ctrlPr>
          </m:sub>
          <m:sup>
            <m:r>
              <m:rPr/>
              <w:rPr>
                <w:rFonts w:ascii="Cambria Math" w:hAnsi="Cambria Math" w:eastAsia="仿宋_GB2312"/>
                <w:color w:val="auto"/>
                <w:sz w:val="28"/>
                <w:szCs w:val="28"/>
                <w:vertAlign w:val="subscript"/>
              </w:rPr>
              <m:t>n</m:t>
            </m:r>
            <m:ctrlPr>
              <w:rPr>
                <w:rFonts w:ascii="Cambria Math" w:hAnsi="Cambria Math" w:eastAsia="仿宋_GB2312"/>
                <w:color w:val="auto"/>
                <w:sz w:val="28"/>
                <w:szCs w:val="28"/>
                <w:vertAlign w:val="subscript"/>
              </w:rPr>
            </m:ctrlPr>
          </m:sup>
          <m:e>
            <m:sSub>
              <m:sSubPr>
                <m:ctrlPr>
                  <w:rPr>
                    <w:rFonts w:ascii="Cambria Math" w:hAnsi="Cambria Math" w:eastAsia="仿宋_GB2312"/>
                    <w:i/>
                    <w:color w:val="auto"/>
                    <w:sz w:val="28"/>
                    <w:szCs w:val="28"/>
                  </w:rPr>
                </m:ctrlPr>
              </m:sSubPr>
              <m:e>
                <m:r>
                  <m:rPr/>
                  <w:rPr>
                    <w:rFonts w:ascii="Cambria Math" w:hAnsi="Cambria Math" w:eastAsia="仿宋_GB2312"/>
                    <w:color w:val="auto"/>
                    <w:sz w:val="28"/>
                    <w:szCs w:val="28"/>
                  </w:rPr>
                  <m:t>K</m:t>
                </m:r>
                <m:ctrlPr>
                  <w:rPr>
                    <w:rFonts w:ascii="Cambria Math" w:hAnsi="Cambria Math" w:eastAsia="仿宋_GB2312"/>
                    <w:i/>
                    <w:color w:val="auto"/>
                    <w:sz w:val="28"/>
                    <w:szCs w:val="28"/>
                  </w:rPr>
                </m:ctrlPr>
              </m:e>
              <m:sub>
                <m:r>
                  <m:rPr/>
                  <w:rPr>
                    <w:rFonts w:ascii="Cambria Math" w:hAnsi="Cambria Math" w:eastAsia="仿宋_GB2312"/>
                    <w:color w:val="auto"/>
                    <w:sz w:val="28"/>
                    <w:szCs w:val="28"/>
                  </w:rPr>
                  <m:t>i</m:t>
                </m:r>
                <m:ctrlPr>
                  <w:rPr>
                    <w:rFonts w:ascii="Cambria Math" w:hAnsi="Cambria Math" w:eastAsia="仿宋_GB2312"/>
                    <w:i/>
                    <w:color w:val="auto"/>
                    <w:sz w:val="28"/>
                    <w:szCs w:val="28"/>
                  </w:rPr>
                </m:ctrlPr>
              </m:sub>
            </m:sSub>
            <m:ctrlPr>
              <w:rPr>
                <w:rFonts w:ascii="Cambria Math" w:hAnsi="Cambria Math" w:eastAsia="仿宋_GB2312"/>
                <w:color w:val="auto"/>
                <w:sz w:val="28"/>
                <w:szCs w:val="28"/>
                <w:vertAlign w:val="subscript"/>
              </w:rPr>
            </m:ctrlPr>
          </m:e>
        </m:nary>
      </m:oMath>
      <w:r>
        <w:rPr>
          <w:rFonts w:eastAsia="仿宋_GB2312"/>
          <w:i/>
          <w:color w:val="auto"/>
          <w:kern w:val="28"/>
          <w:sz w:val="28"/>
          <w:szCs w:val="20"/>
        </w:rPr>
        <w:t>）×</w:t>
      </w:r>
      <w:r>
        <w:rPr>
          <w:rFonts w:eastAsia="仿宋_GB2312"/>
          <w:i/>
          <w:color w:val="auto"/>
          <w:sz w:val="24"/>
        </w:rPr>
        <w:t>K</w:t>
      </w:r>
      <w:r>
        <w:rPr>
          <w:rFonts w:eastAsia="仿宋_GB2312"/>
          <w:i/>
          <w:color w:val="auto"/>
          <w:sz w:val="24"/>
          <w:vertAlign w:val="subscript"/>
        </w:rPr>
        <w:t>v</w:t>
      </w:r>
      <w:r>
        <w:rPr>
          <w:rFonts w:eastAsia="仿宋_GB2312"/>
          <w:i/>
          <w:color w:val="auto"/>
          <w:kern w:val="28"/>
          <w:sz w:val="28"/>
          <w:szCs w:val="20"/>
        </w:rPr>
        <w:t>×K</w:t>
      </w:r>
      <w:r>
        <w:rPr>
          <w:rFonts w:eastAsia="仿宋_GB2312"/>
          <w:i/>
          <w:color w:val="auto"/>
          <w:kern w:val="28"/>
          <w:sz w:val="28"/>
          <w:szCs w:val="20"/>
          <w:vertAlign w:val="subscript"/>
        </w:rPr>
        <w:t>y</w:t>
      </w:r>
      <w:r>
        <w:rPr>
          <w:rFonts w:eastAsia="仿宋_GB2312"/>
          <w:i/>
          <w:color w:val="auto"/>
          <w:kern w:val="28"/>
          <w:sz w:val="28"/>
          <w:szCs w:val="20"/>
        </w:rPr>
        <w:t>×K</w:t>
      </w:r>
      <w:r>
        <w:rPr>
          <w:rFonts w:eastAsia="仿宋_GB2312"/>
          <w:i/>
          <w:color w:val="auto"/>
          <w:kern w:val="28"/>
          <w:sz w:val="28"/>
          <w:szCs w:val="20"/>
          <w:vertAlign w:val="subscript"/>
        </w:rPr>
        <w:t>q</w:t>
      </w:r>
      <w:r>
        <w:rPr>
          <w:rFonts w:eastAsia="仿宋_GB2312"/>
          <w:i/>
          <w:color w:val="auto"/>
          <w:kern w:val="28"/>
          <w:sz w:val="28"/>
          <w:szCs w:val="20"/>
        </w:rPr>
        <w:t>×K</w:t>
      </w:r>
      <w:r>
        <w:rPr>
          <w:rFonts w:eastAsia="仿宋_GB2312"/>
          <w:i/>
          <w:color w:val="auto"/>
          <w:kern w:val="28"/>
          <w:sz w:val="28"/>
          <w:szCs w:val="20"/>
          <w:vertAlign w:val="subscript"/>
        </w:rPr>
        <w:t>g</w:t>
      </w:r>
      <w:r>
        <w:rPr>
          <w:rFonts w:eastAsia="仿宋_GB2312"/>
          <w:i/>
          <w:color w:val="auto"/>
          <w:kern w:val="28"/>
          <w:sz w:val="24"/>
          <w:szCs w:val="20"/>
        </w:rPr>
        <w:t xml:space="preserve">± </w:t>
      </w:r>
      <w:r>
        <w:rPr>
          <w:rFonts w:eastAsia="仿宋_GB2312"/>
          <w:i/>
          <w:color w:val="auto"/>
          <w:kern w:val="28"/>
          <w:sz w:val="28"/>
          <w:szCs w:val="20"/>
        </w:rPr>
        <w:t>D</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7378" w:type="dxa"/>
        <w:jc w:val="center"/>
        <w:tblLayout w:type="fixed"/>
        <w:tblCellMar>
          <w:top w:w="0" w:type="dxa"/>
          <w:left w:w="108" w:type="dxa"/>
          <w:bottom w:w="0" w:type="dxa"/>
          <w:right w:w="108" w:type="dxa"/>
        </w:tblCellMar>
      </w:tblPr>
      <w:tblGrid>
        <w:gridCol w:w="564"/>
        <w:gridCol w:w="723"/>
        <w:gridCol w:w="6091"/>
      </w:tblGrid>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宗</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待估宗地平均楼面地价</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楼</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待估宗地所在区域的级别基准地价（平均楼面地价）</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8"/>
                <w:szCs w:val="28"/>
                <w:vertAlign w:val="subscript"/>
              </w:rPr>
            </w:pPr>
            <w:r>
              <w:rPr>
                <w:rFonts w:eastAsia="仿宋_GB2312"/>
                <w:i/>
                <w:color w:val="auto"/>
                <w:sz w:val="28"/>
                <w:szCs w:val="28"/>
              </w:rPr>
              <w:t>K</w:t>
            </w:r>
            <w:r>
              <w:rPr>
                <w:rFonts w:eastAsia="仿宋_GB2312"/>
                <w:i/>
                <w:color w:val="auto"/>
                <w:sz w:val="28"/>
                <w:szCs w:val="28"/>
                <w:vertAlign w:val="subscript"/>
              </w:rPr>
              <w:t>t</w:t>
            </w:r>
          </w:p>
        </w:tc>
        <w:tc>
          <w:tcPr>
            <w:tcW w:w="723"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二级用地类型修正系数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i</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第</w:t>
            </w:r>
            <w:r>
              <w:rPr>
                <w:rFonts w:eastAsia="仿宋_GB2312"/>
                <w:i/>
                <w:color w:val="auto"/>
                <w:sz w:val="24"/>
              </w:rPr>
              <w:t>i</w:t>
            </w:r>
            <w:r>
              <w:rPr>
                <w:rFonts w:eastAsia="仿宋_GB2312"/>
                <w:color w:val="auto"/>
                <w:sz w:val="24"/>
              </w:rPr>
              <w:t>个区域因素修正系数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v</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i/>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容积率修正系数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hint="eastAsia" w:eastAsia="仿宋_GB2312"/>
                <w:color w:val="auto"/>
                <w:sz w:val="24"/>
              </w:rPr>
              <w:t>剩余使用</w:t>
            </w:r>
            <w:r>
              <w:rPr>
                <w:rFonts w:eastAsia="仿宋_GB2312"/>
                <w:color w:val="auto"/>
                <w:sz w:val="24"/>
              </w:rPr>
              <w:t>年期修正系数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q</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期日修正系数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g</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个别因素修正系数</w:t>
            </w:r>
          </w:p>
        </w:tc>
      </w:tr>
      <w:tr>
        <w:tblPrEx>
          <w:tblCellMar>
            <w:top w:w="0" w:type="dxa"/>
            <w:left w:w="108" w:type="dxa"/>
            <w:bottom w:w="0" w:type="dxa"/>
            <w:right w:w="108" w:type="dxa"/>
          </w:tblCellMar>
        </w:tblPrEx>
        <w:trPr>
          <w:trHeight w:val="636" w:hRule="atLeast"/>
          <w:jc w:val="center"/>
        </w:trPr>
        <w:tc>
          <w:tcPr>
            <w:tcW w:w="564"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D</w:t>
            </w:r>
          </w:p>
        </w:tc>
        <w:tc>
          <w:tcPr>
            <w:tcW w:w="723"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w:t>
            </w:r>
          </w:p>
        </w:tc>
        <w:tc>
          <w:tcPr>
            <w:tcW w:w="6091"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土地开发程度修正值</w:t>
            </w:r>
          </w:p>
        </w:tc>
      </w:tr>
    </w:tbl>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修正体系</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（1）区域因素修正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公共管理与公共服务用地区域因素修正包括基本设施状况、交通条件、繁荣程度、环境条件、人口状况、城镇规划。其修正系数如下：</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 xml:space="preserve">4-5-1  </w:t>
      </w:r>
      <w:r>
        <w:rPr>
          <w:rFonts w:eastAsia="仿宋_GB2312"/>
          <w:b/>
          <w:bCs/>
          <w:color w:val="auto"/>
          <w:sz w:val="24"/>
        </w:rPr>
        <w:t>一级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8878" w:type="dxa"/>
        <w:jc w:val="center"/>
        <w:tblLayout w:type="autofit"/>
        <w:tblCellMar>
          <w:top w:w="0" w:type="dxa"/>
          <w:left w:w="108" w:type="dxa"/>
          <w:bottom w:w="0" w:type="dxa"/>
          <w:right w:w="108" w:type="dxa"/>
        </w:tblCellMar>
      </w:tblPr>
      <w:tblGrid>
        <w:gridCol w:w="1268"/>
        <w:gridCol w:w="1522"/>
        <w:gridCol w:w="1522"/>
        <w:gridCol w:w="1522"/>
        <w:gridCol w:w="1522"/>
        <w:gridCol w:w="1522"/>
      </w:tblGrid>
      <w:tr>
        <w:tblPrEx>
          <w:tblCellMar>
            <w:top w:w="0" w:type="dxa"/>
            <w:left w:w="108" w:type="dxa"/>
            <w:bottom w:w="0" w:type="dxa"/>
            <w:right w:w="108" w:type="dxa"/>
          </w:tblCellMar>
        </w:tblPrEx>
        <w:trPr>
          <w:trHeight w:val="379" w:hRule="atLeast"/>
          <w:tblHeader/>
          <w:jc w:val="center"/>
        </w:trPr>
        <w:tc>
          <w:tcPr>
            <w:tcW w:w="1268"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36"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211"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0.0596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0.0298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-0.0264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-0.0528 </w:t>
            </w:r>
          </w:p>
        </w:tc>
      </w:tr>
      <w:tr>
        <w:tblPrEx>
          <w:tblCellMar>
            <w:top w:w="0" w:type="dxa"/>
            <w:left w:w="108" w:type="dxa"/>
            <w:bottom w:w="0" w:type="dxa"/>
            <w:right w:w="108" w:type="dxa"/>
          </w:tblCellMar>
        </w:tblPrEx>
        <w:trPr>
          <w:trHeight w:val="1025" w:hRule="atLeast"/>
          <w:jc w:val="center"/>
        </w:trPr>
        <w:tc>
          <w:tcPr>
            <w:tcW w:w="1268" w:type="dxa"/>
            <w:tcBorders>
              <w:top w:val="nil"/>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211" w:hRule="atLeast"/>
          <w:jc w:val="center"/>
        </w:trPr>
        <w:tc>
          <w:tcPr>
            <w:tcW w:w="1268" w:type="dxa"/>
            <w:tcBorders>
              <w:top w:val="nil"/>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0.0530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0.0265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-0.0235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-0.0470 </w:t>
            </w:r>
          </w:p>
        </w:tc>
      </w:tr>
      <w:tr>
        <w:tblPrEx>
          <w:tblCellMar>
            <w:top w:w="0" w:type="dxa"/>
            <w:left w:w="108" w:type="dxa"/>
            <w:bottom w:w="0" w:type="dxa"/>
            <w:right w:w="108" w:type="dxa"/>
          </w:tblCellMar>
        </w:tblPrEx>
        <w:trPr>
          <w:trHeight w:val="1025"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距商服中心近、在商场范围内，人流畅旺</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211"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0.0426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0.0213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-0.0189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-0.0378 </w:t>
            </w:r>
          </w:p>
        </w:tc>
      </w:tr>
      <w:tr>
        <w:tblPrEx>
          <w:tblCellMar>
            <w:top w:w="0" w:type="dxa"/>
            <w:left w:w="108" w:type="dxa"/>
            <w:bottom w:w="0" w:type="dxa"/>
            <w:right w:w="108" w:type="dxa"/>
          </w:tblCellMar>
        </w:tblPrEx>
        <w:trPr>
          <w:cantSplit/>
          <w:trHeight w:val="1025"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211"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-0.0230 </w:t>
            </w:r>
          </w:p>
        </w:tc>
      </w:tr>
      <w:tr>
        <w:tblPrEx>
          <w:tblCellMar>
            <w:top w:w="0" w:type="dxa"/>
            <w:left w:w="108" w:type="dxa"/>
            <w:bottom w:w="0" w:type="dxa"/>
            <w:right w:w="108" w:type="dxa"/>
          </w:tblCellMar>
        </w:tblPrEx>
        <w:trPr>
          <w:trHeight w:val="414"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211"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0.0248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0.0123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-0.0109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-0.0220 </w:t>
            </w:r>
          </w:p>
        </w:tc>
      </w:tr>
      <w:tr>
        <w:tblPrEx>
          <w:tblCellMar>
            <w:top w:w="0" w:type="dxa"/>
            <w:left w:w="108" w:type="dxa"/>
            <w:bottom w:w="0" w:type="dxa"/>
            <w:right w:w="108" w:type="dxa"/>
          </w:tblCellMar>
        </w:tblPrEx>
        <w:trPr>
          <w:cantSplit/>
          <w:trHeight w:val="1432"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区域内规划完善，且为重点公共管理与公共服务规划区，近期规划前景好</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区域内规划完善，且为重点公共管理与公共服务规划区，近期规划前景较好</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区域内规划完善，且为重点公共管理与公共服务规划区，近期规划前景一般</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区域内规划完善，且为重点公共管理与公共服务规划区，近期规划前景较差</w:t>
            </w:r>
          </w:p>
        </w:tc>
        <w:tc>
          <w:tcPr>
            <w:tcW w:w="15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lang w:bidi="ar"/>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242" w:hRule="atLeast"/>
          <w:jc w:val="center"/>
        </w:trPr>
        <w:tc>
          <w:tcPr>
            <w:tcW w:w="126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0.0182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0.0091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-0.0081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-0.0162 </w:t>
            </w:r>
          </w:p>
        </w:tc>
      </w:tr>
    </w:tbl>
    <w:p>
      <w:pPr>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4-5-2  二</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8959" w:type="dxa"/>
        <w:jc w:val="center"/>
        <w:tblLayout w:type="autofit"/>
        <w:tblCellMar>
          <w:top w:w="0" w:type="dxa"/>
          <w:left w:w="108" w:type="dxa"/>
          <w:bottom w:w="0" w:type="dxa"/>
          <w:right w:w="108" w:type="dxa"/>
        </w:tblCellMar>
      </w:tblPr>
      <w:tblGrid>
        <w:gridCol w:w="1279"/>
        <w:gridCol w:w="1536"/>
        <w:gridCol w:w="1536"/>
        <w:gridCol w:w="1536"/>
        <w:gridCol w:w="1536"/>
        <w:gridCol w:w="1536"/>
      </w:tblGrid>
      <w:tr>
        <w:tblPrEx>
          <w:tblCellMar>
            <w:top w:w="0" w:type="dxa"/>
            <w:left w:w="108" w:type="dxa"/>
            <w:bottom w:w="0" w:type="dxa"/>
            <w:right w:w="108" w:type="dxa"/>
          </w:tblCellMar>
        </w:tblPrEx>
        <w:trPr>
          <w:trHeight w:val="591" w:hRule="atLeast"/>
          <w:tblHeader/>
          <w:jc w:val="center"/>
        </w:trPr>
        <w:tc>
          <w:tcPr>
            <w:tcW w:w="1279"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199"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0.0538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0.0269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-0.0468 </w:t>
            </w:r>
          </w:p>
        </w:tc>
      </w:tr>
      <w:tr>
        <w:tblPrEx>
          <w:tblCellMar>
            <w:top w:w="0" w:type="dxa"/>
            <w:left w:w="108" w:type="dxa"/>
            <w:bottom w:w="0" w:type="dxa"/>
            <w:right w:w="108" w:type="dxa"/>
          </w:tblCellMar>
        </w:tblPrEx>
        <w:trPr>
          <w:trHeight w:val="127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0.0478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0.0239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-0.0208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-0.0416 </w:t>
            </w:r>
          </w:p>
        </w:tc>
      </w:tr>
      <w:tr>
        <w:tblPrEx>
          <w:tblCellMar>
            <w:top w:w="0" w:type="dxa"/>
            <w:left w:w="108" w:type="dxa"/>
            <w:bottom w:w="0" w:type="dxa"/>
            <w:right w:w="108" w:type="dxa"/>
          </w:tblCellMar>
        </w:tblPrEx>
        <w:trPr>
          <w:trHeight w:val="1574"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距商服中心近、在商场范围内，人流畅旺</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0.0384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0.0192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-0.0167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-0.0334 </w:t>
            </w:r>
          </w:p>
        </w:tc>
      </w:tr>
      <w:tr>
        <w:tblPrEx>
          <w:tblCellMar>
            <w:top w:w="0" w:type="dxa"/>
            <w:left w:w="108" w:type="dxa"/>
            <w:bottom w:w="0" w:type="dxa"/>
            <w:right w:w="108" w:type="dxa"/>
          </w:tblCellMar>
        </w:tblPrEx>
        <w:trPr>
          <w:trHeight w:val="1586"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0.0236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-0.0103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-0.0206 </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32"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0.0224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0.0111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-0.0097 </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-0.0194 </w:t>
            </w:r>
          </w:p>
        </w:tc>
      </w:tr>
      <w:tr>
        <w:tblPrEx>
          <w:tblCellMar>
            <w:top w:w="0" w:type="dxa"/>
            <w:left w:w="108" w:type="dxa"/>
            <w:bottom w:w="0" w:type="dxa"/>
            <w:right w:w="108" w:type="dxa"/>
          </w:tblCellMar>
        </w:tblPrEx>
        <w:trPr>
          <w:cantSplit/>
          <w:trHeight w:val="1898" w:hRule="atLeast"/>
          <w:jc w:val="center"/>
        </w:trPr>
        <w:tc>
          <w:tcPr>
            <w:tcW w:w="127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区域内规划完善，且为重点公共管理与公共服务规划区，近期规划前景较好</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区域内规划完善，且为重点公共管理与公共服务规划区，近期规划前景一般</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区域内规划完善，且为重点公共管理与公共服务规划区，近期规划前景较差</w:t>
            </w:r>
          </w:p>
        </w:tc>
        <w:tc>
          <w:tcPr>
            <w:tcW w:w="153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52" w:hRule="atLeast"/>
          <w:jc w:val="center"/>
        </w:trPr>
        <w:tc>
          <w:tcPr>
            <w:tcW w:w="127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6"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c>
          <w:tcPr>
            <w:tcW w:w="1536"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36"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6"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536"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4-5-3  三</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8977" w:type="dxa"/>
        <w:jc w:val="center"/>
        <w:tblLayout w:type="autofit"/>
        <w:tblCellMar>
          <w:top w:w="0" w:type="dxa"/>
          <w:left w:w="108" w:type="dxa"/>
          <w:bottom w:w="0" w:type="dxa"/>
          <w:right w:w="108" w:type="dxa"/>
        </w:tblCellMar>
      </w:tblPr>
      <w:tblGrid>
        <w:gridCol w:w="1282"/>
        <w:gridCol w:w="1539"/>
        <w:gridCol w:w="1539"/>
        <w:gridCol w:w="1539"/>
        <w:gridCol w:w="1539"/>
        <w:gridCol w:w="1539"/>
      </w:tblGrid>
      <w:tr>
        <w:tblPrEx>
          <w:tblCellMar>
            <w:top w:w="0" w:type="dxa"/>
            <w:left w:w="108" w:type="dxa"/>
            <w:bottom w:w="0" w:type="dxa"/>
            <w:right w:w="108" w:type="dxa"/>
          </w:tblCellMar>
        </w:tblPrEx>
        <w:trPr>
          <w:trHeight w:val="604" w:hRule="atLeast"/>
          <w:tblHeader/>
          <w:jc w:val="center"/>
        </w:trPr>
        <w:tc>
          <w:tcPr>
            <w:tcW w:w="1282"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200"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9"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39"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39"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39"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39"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0.0488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0.0244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-0.0203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-0.0406 </w:t>
            </w:r>
          </w:p>
        </w:tc>
      </w:tr>
      <w:tr>
        <w:tblPrEx>
          <w:tblCellMar>
            <w:top w:w="0" w:type="dxa"/>
            <w:left w:w="108" w:type="dxa"/>
            <w:bottom w:w="0" w:type="dxa"/>
            <w:right w:w="108" w:type="dxa"/>
          </w:tblCellMar>
        </w:tblPrEx>
        <w:trPr>
          <w:trHeight w:val="128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0.0434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0.0217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-0.0360 </w:t>
            </w:r>
          </w:p>
        </w:tc>
      </w:tr>
      <w:tr>
        <w:tblPrEx>
          <w:tblCellMar>
            <w:top w:w="0" w:type="dxa"/>
            <w:left w:w="108" w:type="dxa"/>
            <w:bottom w:w="0" w:type="dxa"/>
            <w:right w:w="108" w:type="dxa"/>
          </w:tblCellMar>
        </w:tblPrEx>
        <w:trPr>
          <w:trHeight w:val="1576" w:hRule="atLeast"/>
          <w:jc w:val="center"/>
        </w:trPr>
        <w:tc>
          <w:tcPr>
            <w:tcW w:w="1282" w:type="dxa"/>
            <w:tcBorders>
              <w:top w:val="nil"/>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39"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距商服中心近、在商场范围内，人流畅旺</w:t>
            </w:r>
          </w:p>
        </w:tc>
        <w:tc>
          <w:tcPr>
            <w:tcW w:w="1539"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39"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39"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39"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0.0348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0.0174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-0.0145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-0.0290 </w:t>
            </w:r>
          </w:p>
        </w:tc>
      </w:tr>
      <w:tr>
        <w:tblPrEx>
          <w:tblCellMar>
            <w:top w:w="0" w:type="dxa"/>
            <w:left w:w="108" w:type="dxa"/>
            <w:bottom w:w="0" w:type="dxa"/>
            <w:right w:w="108" w:type="dxa"/>
          </w:tblCellMar>
        </w:tblPrEx>
        <w:trPr>
          <w:trHeight w:val="1597" w:hRule="atLeast"/>
          <w:jc w:val="center"/>
        </w:trPr>
        <w:tc>
          <w:tcPr>
            <w:tcW w:w="1282" w:type="dxa"/>
            <w:tcBorders>
              <w:top w:val="nil"/>
              <w:left w:val="single" w:color="auto" w:sz="4" w:space="0"/>
              <w:bottom w:val="single" w:color="auto" w:sz="4" w:space="0"/>
              <w:right w:val="single" w:color="auto" w:sz="4" w:space="0"/>
            </w:tcBorders>
            <w:vAlign w:val="center"/>
          </w:tcPr>
          <w:p>
            <w:pPr>
              <w:keepNext/>
              <w:keepLines/>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3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3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3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39"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0.0214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-0.0089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-0.0178 </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44"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0.0202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0.0101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-0.0084 </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-0.0168 </w:t>
            </w:r>
          </w:p>
        </w:tc>
      </w:tr>
      <w:tr>
        <w:tblPrEx>
          <w:tblCellMar>
            <w:top w:w="0" w:type="dxa"/>
            <w:left w:w="108" w:type="dxa"/>
            <w:bottom w:w="0" w:type="dxa"/>
            <w:right w:w="108" w:type="dxa"/>
          </w:tblCellMar>
        </w:tblPrEx>
        <w:trPr>
          <w:cantSplit/>
          <w:trHeight w:val="1911" w:hRule="atLeast"/>
          <w:jc w:val="center"/>
        </w:trPr>
        <w:tc>
          <w:tcPr>
            <w:tcW w:w="1282"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区域内规划完善，且为重点公共管理与公共服务规划区，近期规划前景较好</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区域内规划完善，且为重点公共管理与公共服务规划区，近期规划前景一般</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区域内规划完善，且为重点公共管理与公共服务规划区，近期规划前景较差</w:t>
            </w:r>
          </w:p>
        </w:tc>
        <w:tc>
          <w:tcPr>
            <w:tcW w:w="153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74"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9"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0.0148 </w:t>
            </w:r>
          </w:p>
        </w:tc>
        <w:tc>
          <w:tcPr>
            <w:tcW w:w="1539"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0.0074 </w:t>
            </w:r>
          </w:p>
        </w:tc>
        <w:tc>
          <w:tcPr>
            <w:tcW w:w="1539"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9"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-0.0062 </w:t>
            </w:r>
          </w:p>
        </w:tc>
        <w:tc>
          <w:tcPr>
            <w:tcW w:w="1539"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-0.0124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4-5-4  四</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9017" w:type="dxa"/>
        <w:jc w:val="center"/>
        <w:tblLayout w:type="autofit"/>
        <w:tblCellMar>
          <w:top w:w="0" w:type="dxa"/>
          <w:left w:w="108" w:type="dxa"/>
          <w:bottom w:w="0" w:type="dxa"/>
          <w:right w:w="108" w:type="dxa"/>
        </w:tblCellMar>
      </w:tblPr>
      <w:tblGrid>
        <w:gridCol w:w="1287"/>
        <w:gridCol w:w="1546"/>
        <w:gridCol w:w="1546"/>
        <w:gridCol w:w="1546"/>
        <w:gridCol w:w="1546"/>
        <w:gridCol w:w="1546"/>
      </w:tblGrid>
      <w:tr>
        <w:tblPrEx>
          <w:tblCellMar>
            <w:top w:w="0" w:type="dxa"/>
            <w:left w:w="108" w:type="dxa"/>
            <w:bottom w:w="0" w:type="dxa"/>
            <w:right w:w="108" w:type="dxa"/>
          </w:tblCellMar>
        </w:tblPrEx>
        <w:trPr>
          <w:trHeight w:val="600" w:hRule="atLeast"/>
          <w:tblHeader/>
          <w:jc w:val="center"/>
        </w:trPr>
        <w:tc>
          <w:tcPr>
            <w:tcW w:w="1287"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4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4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4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4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4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208"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46"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46"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46"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46"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46" w:type="dxa"/>
            <w:tcBorders>
              <w:top w:val="single" w:color="auto" w:sz="4" w:space="0"/>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0.0426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-0.0344 </w:t>
            </w:r>
          </w:p>
        </w:tc>
      </w:tr>
      <w:tr>
        <w:tblPrEx>
          <w:tblCellMar>
            <w:top w:w="0" w:type="dxa"/>
            <w:left w:w="108" w:type="dxa"/>
            <w:bottom w:w="0" w:type="dxa"/>
            <w:right w:w="108" w:type="dxa"/>
          </w:tblCellMar>
        </w:tblPrEx>
        <w:trPr>
          <w:trHeight w:val="1279"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0.0378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0.0189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-0.0306 </w:t>
            </w:r>
          </w:p>
        </w:tc>
      </w:tr>
      <w:tr>
        <w:tblPrEx>
          <w:tblCellMar>
            <w:top w:w="0" w:type="dxa"/>
            <w:left w:w="108" w:type="dxa"/>
            <w:bottom w:w="0" w:type="dxa"/>
            <w:right w:w="108" w:type="dxa"/>
          </w:tblCellMar>
        </w:tblPrEx>
        <w:trPr>
          <w:trHeight w:val="1584"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距商服中心近、在商场范围内，人流畅旺</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0.0304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-0.0246 </w:t>
            </w:r>
          </w:p>
        </w:tc>
      </w:tr>
      <w:tr>
        <w:tblPrEx>
          <w:tblCellMar>
            <w:top w:w="0" w:type="dxa"/>
            <w:left w:w="108" w:type="dxa"/>
            <w:bottom w:w="0" w:type="dxa"/>
            <w:right w:w="108" w:type="dxa"/>
          </w:tblCellMar>
        </w:tblPrEx>
        <w:trPr>
          <w:trHeight w:val="1592" w:hRule="atLeast"/>
          <w:jc w:val="center"/>
        </w:trPr>
        <w:tc>
          <w:tcPr>
            <w:tcW w:w="1287" w:type="dxa"/>
            <w:tcBorders>
              <w:top w:val="nil"/>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46"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46"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46"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46"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46"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-0.0076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4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0.0088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-0.0071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-0.0142 </w:t>
            </w:r>
          </w:p>
        </w:tc>
      </w:tr>
      <w:tr>
        <w:tblPrEx>
          <w:tblCellMar>
            <w:top w:w="0" w:type="dxa"/>
            <w:left w:w="108" w:type="dxa"/>
            <w:bottom w:w="0" w:type="dxa"/>
            <w:right w:w="108" w:type="dxa"/>
          </w:tblCellMar>
        </w:tblPrEx>
        <w:trPr>
          <w:cantSplit/>
          <w:trHeight w:val="1904"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区域内规划完善，且为重点公共管理与公共服务规划区，近期规划前景较好</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区域内规划完善，且为重点公共管理与公共服务规划区，近期规划前景一般</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区域内规划完善，且为重点公共管理与公共服务规划区，近期规划前景较差</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72" w:hRule="atLeast"/>
          <w:jc w:val="center"/>
        </w:trPr>
        <w:tc>
          <w:tcPr>
            <w:tcW w:w="128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0.0065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-0.0053 </w:t>
            </w:r>
          </w:p>
        </w:tc>
        <w:tc>
          <w:tcPr>
            <w:tcW w:w="154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4-5-5  五</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8895" w:type="dxa"/>
        <w:jc w:val="center"/>
        <w:tblLayout w:type="autofit"/>
        <w:tblCellMar>
          <w:top w:w="0" w:type="dxa"/>
          <w:left w:w="108" w:type="dxa"/>
          <w:bottom w:w="0" w:type="dxa"/>
          <w:right w:w="108" w:type="dxa"/>
        </w:tblCellMar>
      </w:tblPr>
      <w:tblGrid>
        <w:gridCol w:w="1270"/>
        <w:gridCol w:w="1525"/>
        <w:gridCol w:w="1525"/>
        <w:gridCol w:w="1525"/>
        <w:gridCol w:w="1525"/>
        <w:gridCol w:w="1525"/>
      </w:tblGrid>
      <w:tr>
        <w:tblPrEx>
          <w:tblCellMar>
            <w:top w:w="0" w:type="dxa"/>
            <w:left w:w="108" w:type="dxa"/>
            <w:bottom w:w="0" w:type="dxa"/>
            <w:right w:w="108" w:type="dxa"/>
          </w:tblCellMar>
        </w:tblPrEx>
        <w:trPr>
          <w:trHeight w:val="500" w:hRule="atLeast"/>
          <w:tblHeader/>
          <w:jc w:val="center"/>
        </w:trPr>
        <w:tc>
          <w:tcPr>
            <w:tcW w:w="1270"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2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157"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25"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25"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25"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25"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25"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288"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0.0354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0.0177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-0.0135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-0.0270 </w:t>
            </w:r>
          </w:p>
        </w:tc>
      </w:tr>
      <w:tr>
        <w:tblPrEx>
          <w:tblCellMar>
            <w:top w:w="0" w:type="dxa"/>
            <w:left w:w="108" w:type="dxa"/>
            <w:bottom w:w="0" w:type="dxa"/>
            <w:right w:w="108" w:type="dxa"/>
          </w:tblCellMar>
        </w:tblPrEx>
        <w:trPr>
          <w:trHeight w:val="135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288"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0.0157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-0.0240 </w:t>
            </w:r>
          </w:p>
        </w:tc>
      </w:tr>
      <w:tr>
        <w:tblPrEx>
          <w:tblCellMar>
            <w:top w:w="0" w:type="dxa"/>
            <w:left w:w="108" w:type="dxa"/>
            <w:bottom w:w="0" w:type="dxa"/>
            <w:right w:w="108" w:type="dxa"/>
          </w:tblCellMar>
        </w:tblPrEx>
        <w:trPr>
          <w:trHeight w:val="135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距商服中心近、在商场范围内，人流畅旺</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距商服中心较近、离商场较近，人流较畅旺</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距商服中心有一定距离，与商场距离一般、人流量一般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288"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0.0252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0.0126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-0.0097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-0.0194 </w:t>
            </w:r>
          </w:p>
        </w:tc>
      </w:tr>
      <w:tr>
        <w:tblPrEx>
          <w:tblCellMar>
            <w:top w:w="0" w:type="dxa"/>
            <w:left w:w="108" w:type="dxa"/>
            <w:bottom w:w="0" w:type="dxa"/>
            <w:right w:w="108" w:type="dxa"/>
          </w:tblCellMar>
        </w:tblPrEx>
        <w:trPr>
          <w:trHeight w:val="1352"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288"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0.0077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-0.0059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r>
      <w:tr>
        <w:tblPrEx>
          <w:tblCellMar>
            <w:top w:w="0" w:type="dxa"/>
            <w:left w:w="108" w:type="dxa"/>
            <w:bottom w:w="0" w:type="dxa"/>
            <w:right w:w="108" w:type="dxa"/>
          </w:tblCellMar>
        </w:tblPrEx>
        <w:trPr>
          <w:trHeight w:val="546"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288"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0.0146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0.0073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-0.0056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-0.0112 </w:t>
            </w:r>
          </w:p>
        </w:tc>
      </w:tr>
      <w:tr>
        <w:tblPrEx>
          <w:tblCellMar>
            <w:top w:w="0" w:type="dxa"/>
            <w:left w:w="108" w:type="dxa"/>
            <w:bottom w:w="0" w:type="dxa"/>
            <w:right w:w="108" w:type="dxa"/>
          </w:tblCellMar>
        </w:tblPrEx>
        <w:trPr>
          <w:cantSplit/>
          <w:trHeight w:val="1889"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525" w:type="dxa"/>
            <w:tcBorders>
              <w:top w:val="nil"/>
              <w:left w:val="nil"/>
              <w:bottom w:val="single" w:color="auto" w:sz="4" w:space="0"/>
              <w:right w:val="single" w:color="auto" w:sz="4" w:space="0"/>
            </w:tcBorders>
            <w:vAlign w:val="center"/>
          </w:tcPr>
          <w:p>
            <w:pPr>
              <w:widowControl/>
              <w:spacing w:line="240" w:lineRule="auto"/>
              <w:jc w:val="both"/>
              <w:textAlignment w:val="center"/>
              <w:rPr>
                <w:rFonts w:eastAsia="仿宋_GB2312"/>
                <w:color w:val="auto"/>
                <w:spacing w:val="-6"/>
                <w:kern w:val="0"/>
                <w:sz w:val="22"/>
                <w:szCs w:val="22"/>
                <w:lang w:bidi="ar"/>
              </w:rPr>
            </w:pPr>
            <w:r>
              <w:rPr>
                <w:rFonts w:eastAsia="仿宋_GB2312"/>
                <w:color w:val="auto"/>
                <w:spacing w:val="-6"/>
                <w:kern w:val="0"/>
                <w:sz w:val="22"/>
                <w:szCs w:val="22"/>
                <w:lang w:bidi="ar"/>
              </w:rPr>
              <w:t>区域内规划完善，且为重点公共管理与公共服务规划区，近期规划前景较好</w:t>
            </w:r>
          </w:p>
        </w:tc>
        <w:tc>
          <w:tcPr>
            <w:tcW w:w="1525" w:type="dxa"/>
            <w:tcBorders>
              <w:top w:val="nil"/>
              <w:left w:val="nil"/>
              <w:bottom w:val="single" w:color="auto" w:sz="4" w:space="0"/>
              <w:right w:val="single" w:color="auto" w:sz="4" w:space="0"/>
            </w:tcBorders>
            <w:vAlign w:val="center"/>
          </w:tcPr>
          <w:p>
            <w:pPr>
              <w:widowControl/>
              <w:spacing w:line="240" w:lineRule="auto"/>
              <w:jc w:val="both"/>
              <w:textAlignment w:val="center"/>
              <w:rPr>
                <w:rFonts w:eastAsia="仿宋_GB2312"/>
                <w:color w:val="auto"/>
                <w:spacing w:val="-6"/>
                <w:kern w:val="0"/>
                <w:sz w:val="22"/>
                <w:szCs w:val="22"/>
                <w:lang w:bidi="ar"/>
              </w:rPr>
            </w:pPr>
            <w:r>
              <w:rPr>
                <w:rFonts w:eastAsia="仿宋_GB2312"/>
                <w:color w:val="auto"/>
                <w:spacing w:val="-6"/>
                <w:kern w:val="0"/>
                <w:sz w:val="22"/>
                <w:szCs w:val="22"/>
                <w:lang w:bidi="ar"/>
              </w:rPr>
              <w:t>区域内规划完善，且为重点公共管理与公共服务规划区，近期规划前景一般</w:t>
            </w:r>
          </w:p>
        </w:tc>
        <w:tc>
          <w:tcPr>
            <w:tcW w:w="1525" w:type="dxa"/>
            <w:tcBorders>
              <w:top w:val="nil"/>
              <w:left w:val="nil"/>
              <w:bottom w:val="single" w:color="auto" w:sz="4" w:space="0"/>
              <w:right w:val="single" w:color="auto" w:sz="4" w:space="0"/>
            </w:tcBorders>
            <w:vAlign w:val="center"/>
          </w:tcPr>
          <w:p>
            <w:pPr>
              <w:widowControl/>
              <w:spacing w:line="240" w:lineRule="auto"/>
              <w:jc w:val="both"/>
              <w:textAlignment w:val="center"/>
              <w:rPr>
                <w:rFonts w:eastAsia="仿宋_GB2312" w:cs="宋体"/>
                <w:color w:val="auto"/>
                <w:kern w:val="0"/>
                <w:sz w:val="22"/>
                <w:szCs w:val="22"/>
              </w:rPr>
            </w:pPr>
            <w:r>
              <w:rPr>
                <w:rFonts w:eastAsia="仿宋_GB2312"/>
                <w:color w:val="auto"/>
                <w:spacing w:val="-6"/>
                <w:kern w:val="0"/>
                <w:sz w:val="22"/>
                <w:szCs w:val="22"/>
                <w:lang w:bidi="ar"/>
              </w:rPr>
              <w:t>区域内规划完善，且为重点公共管理与公共服务规划区，近期规划前景较差</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34" w:hRule="atLeast"/>
          <w:jc w:val="center"/>
        </w:trPr>
        <w:tc>
          <w:tcPr>
            <w:tcW w:w="127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-0.0041 </w:t>
            </w:r>
          </w:p>
        </w:tc>
        <w:tc>
          <w:tcPr>
            <w:tcW w:w="152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4-5-6  六</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9036" w:type="dxa"/>
        <w:jc w:val="center"/>
        <w:tblLayout w:type="autofit"/>
        <w:tblCellMar>
          <w:top w:w="0" w:type="dxa"/>
          <w:left w:w="108" w:type="dxa"/>
          <w:bottom w:w="0" w:type="dxa"/>
          <w:right w:w="108" w:type="dxa"/>
        </w:tblCellMar>
      </w:tblPr>
      <w:tblGrid>
        <w:gridCol w:w="1291"/>
        <w:gridCol w:w="1549"/>
        <w:gridCol w:w="1549"/>
        <w:gridCol w:w="1549"/>
        <w:gridCol w:w="1549"/>
        <w:gridCol w:w="1549"/>
      </w:tblGrid>
      <w:tr>
        <w:tblPrEx>
          <w:tblCellMar>
            <w:top w:w="0" w:type="dxa"/>
            <w:left w:w="108" w:type="dxa"/>
            <w:bottom w:w="0" w:type="dxa"/>
            <w:right w:w="108" w:type="dxa"/>
          </w:tblCellMar>
        </w:tblPrEx>
        <w:trPr>
          <w:trHeight w:val="593" w:hRule="atLeast"/>
          <w:tblHeader/>
          <w:jc w:val="center"/>
        </w:trPr>
        <w:tc>
          <w:tcPr>
            <w:tcW w:w="1291"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4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4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4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4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49"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50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市政供水、供电保证率高，排水状况好，周围学校、银行、邮电局（所）、医院等生活设施配套完备</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市政供水、供电保证率较高，排水状况较好，周围学校、银行、邮电局（所）、医院等生活设施配套较完备</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市政供水、供电保证率一般，排水状况一般，周围学校、银行、邮电局（所）、医院等生活设施配套一般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市政供水、供电保证率较低，排水状况较差，离学校、银行、邮电局（所）、医院等生活设施有一定的距离</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0.0266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0.0133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-0.0107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-0.0214 </w:t>
            </w:r>
          </w:p>
        </w:tc>
      </w:tr>
      <w:tr>
        <w:tblPrEx>
          <w:tblCellMar>
            <w:top w:w="0" w:type="dxa"/>
            <w:left w:w="108" w:type="dxa"/>
            <w:bottom w:w="0" w:type="dxa"/>
            <w:right w:w="108" w:type="dxa"/>
          </w:tblCellMar>
        </w:tblPrEx>
        <w:trPr>
          <w:trHeight w:val="127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0.0236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0.0118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-0.0095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-0.0190 </w:t>
            </w:r>
          </w:p>
        </w:tc>
      </w:tr>
      <w:tr>
        <w:tblPrEx>
          <w:tblCellMar>
            <w:top w:w="0" w:type="dxa"/>
            <w:left w:w="108" w:type="dxa"/>
            <w:bottom w:w="0" w:type="dxa"/>
            <w:right w:w="108" w:type="dxa"/>
          </w:tblCellMar>
        </w:tblPrEx>
        <w:trPr>
          <w:trHeight w:val="1569"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距商服中心近、在农贸市场范围内，人流畅旺</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距商服中心较近、离农贸市场较近，人流较畅旺</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距商服中心有一定距离，与农贸市场距离一般、人流量一般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0.0095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-0.0076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-0.0152 </w:t>
            </w:r>
          </w:p>
        </w:tc>
      </w:tr>
      <w:tr>
        <w:tblPrEx>
          <w:tblCellMar>
            <w:top w:w="0" w:type="dxa"/>
            <w:left w:w="108" w:type="dxa"/>
            <w:bottom w:w="0" w:type="dxa"/>
            <w:right w:w="108" w:type="dxa"/>
          </w:tblCellMar>
        </w:tblPrEx>
        <w:trPr>
          <w:trHeight w:val="1586"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0.0058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-0.0047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-0.0094 </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3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0.0110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0.0055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-0.0044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-0.0088 </w:t>
            </w:r>
          </w:p>
        </w:tc>
      </w:tr>
      <w:tr>
        <w:tblPrEx>
          <w:tblCellMar>
            <w:top w:w="0" w:type="dxa"/>
            <w:left w:w="108" w:type="dxa"/>
            <w:bottom w:w="0" w:type="dxa"/>
            <w:right w:w="108" w:type="dxa"/>
          </w:tblCellMar>
        </w:tblPrEx>
        <w:trPr>
          <w:cantSplit/>
          <w:trHeight w:val="1900"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区域内规划完善，且为重点公共管理与公共服务规划区，近期规划前景较好</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区域内规划完善，且为重点公共管理与公共服务规划区，近期规划前景一般</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区域内规划完善，且为重点公共管理与公共服务规划区，近期规划前景较差</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53" w:hRule="atLeast"/>
          <w:jc w:val="center"/>
        </w:trPr>
        <w:tc>
          <w:tcPr>
            <w:tcW w:w="129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0.0041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-0.0033 </w:t>
            </w:r>
          </w:p>
        </w:tc>
        <w:tc>
          <w:tcPr>
            <w:tcW w:w="1549"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4-5-7  七</w:t>
      </w:r>
      <w:r>
        <w:rPr>
          <w:rFonts w:eastAsia="仿宋_GB2312"/>
          <w:b/>
          <w:bCs/>
          <w:color w:val="auto"/>
          <w:sz w:val="24"/>
        </w:rPr>
        <w:t>级</w:t>
      </w:r>
      <w:r>
        <w:rPr>
          <w:rFonts w:hint="eastAsia" w:eastAsia="仿宋_GB2312"/>
          <w:b/>
          <w:bCs/>
          <w:color w:val="auto"/>
          <w:sz w:val="24"/>
        </w:rPr>
        <w:t>公共管理与公共服务</w:t>
      </w:r>
      <w:r>
        <w:rPr>
          <w:rFonts w:eastAsia="仿宋_GB2312"/>
          <w:b/>
          <w:bCs/>
          <w:color w:val="auto"/>
          <w:sz w:val="24"/>
        </w:rPr>
        <w:t>用地区域因素修正系数表</w:t>
      </w:r>
    </w:p>
    <w:tbl>
      <w:tblPr>
        <w:tblStyle w:val="88"/>
        <w:tblW w:w="9038" w:type="dxa"/>
        <w:jc w:val="center"/>
        <w:tblLayout w:type="autofit"/>
        <w:tblCellMar>
          <w:top w:w="0" w:type="dxa"/>
          <w:left w:w="108" w:type="dxa"/>
          <w:bottom w:w="0" w:type="dxa"/>
          <w:right w:w="108" w:type="dxa"/>
        </w:tblCellMar>
      </w:tblPr>
      <w:tblGrid>
        <w:gridCol w:w="1108"/>
        <w:gridCol w:w="1493"/>
        <w:gridCol w:w="1645"/>
        <w:gridCol w:w="1588"/>
        <w:gridCol w:w="1588"/>
        <w:gridCol w:w="1616"/>
      </w:tblGrid>
      <w:tr>
        <w:tblPrEx>
          <w:tblCellMar>
            <w:top w:w="0" w:type="dxa"/>
            <w:left w:w="108" w:type="dxa"/>
            <w:bottom w:w="0" w:type="dxa"/>
            <w:right w:w="108" w:type="dxa"/>
          </w:tblCellMar>
        </w:tblPrEx>
        <w:trPr>
          <w:trHeight w:val="585" w:hRule="atLeast"/>
          <w:tblHeader/>
          <w:jc w:val="center"/>
        </w:trPr>
        <w:tc>
          <w:tcPr>
            <w:tcW w:w="1108"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493"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64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8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88"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616"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2528"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市政供水、供电保证率高，排水状况好，周围学校、银行、邮电局（所）、医院等生活设施配套完备</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市政供水、供电保证率较高，排水状况较好，周围学校、银行、邮电局（所）、医院等生活设施配套较完备</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市政供水、供电保证率一般，排水状况一般，周围学校、银行、邮电局（所）、医院等生活设施配套一般</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市政供水、供电保证率较低，排水状况较差，离学校、银行、邮电局（所）、医院等生活设施有一定的距离</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0.0262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0.0131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-0.0101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-0.0202 </w:t>
            </w:r>
          </w:p>
        </w:tc>
      </w:tr>
      <w:tr>
        <w:tblPrEx>
          <w:tblCellMar>
            <w:top w:w="0" w:type="dxa"/>
            <w:left w:w="108" w:type="dxa"/>
            <w:bottom w:w="0" w:type="dxa"/>
            <w:right w:w="108" w:type="dxa"/>
          </w:tblCellMar>
        </w:tblPrEx>
        <w:trPr>
          <w:trHeight w:val="1269"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0.0232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r>
      <w:tr>
        <w:tblPrEx>
          <w:tblCellMar>
            <w:top w:w="0" w:type="dxa"/>
            <w:left w:w="108" w:type="dxa"/>
            <w:bottom w:w="0" w:type="dxa"/>
            <w:right w:w="108" w:type="dxa"/>
          </w:tblCellMar>
        </w:tblPrEx>
        <w:trPr>
          <w:trHeight w:val="158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繁华程度</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距商服中心近、在农贸市场范围内，人流畅旺</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距商服中心较近、离农贸市场较近，人流较畅旺</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距商服中心有一定距离，与农贸市场距离一般、人流量一般</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距商服中心较远，所在地区商业气氛平淡，人流较少</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距商服中心远，独立、小型、零星的商业用地</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0.0093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r>
      <w:tr>
        <w:tblPrEx>
          <w:tblCellMar>
            <w:top w:w="0" w:type="dxa"/>
            <w:left w:w="108" w:type="dxa"/>
            <w:bottom w:w="0" w:type="dxa"/>
            <w:right w:w="108" w:type="dxa"/>
          </w:tblCellMar>
        </w:tblPrEx>
        <w:trPr>
          <w:trHeight w:val="158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0.0114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0.0057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-0.0044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-0.0088 </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2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-0.0042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-0.0084 </w:t>
            </w:r>
          </w:p>
        </w:tc>
      </w:tr>
      <w:tr>
        <w:tblPrEx>
          <w:tblCellMar>
            <w:top w:w="0" w:type="dxa"/>
            <w:left w:w="108" w:type="dxa"/>
            <w:bottom w:w="0" w:type="dxa"/>
            <w:right w:w="108" w:type="dxa"/>
          </w:tblCellMar>
        </w:tblPrEx>
        <w:trPr>
          <w:cantSplit/>
          <w:trHeight w:val="1898"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区域内规划完善，且为重点公共管理与公共服务规划区，近期规划前景好</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区域内规划完善，且为重点公共管理与公共服务规划区，近期规划前景较好</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区域内规划完善，且为重点公共管理与公共服务规划区，近期规划前景一般</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区域内规划完善，且为重点公共管理与公共服务规划区，近期规划前景较差</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区域内规划完善，且为重点公共管理与公共服务规划区，近期规划前景差</w:t>
            </w:r>
          </w:p>
        </w:tc>
      </w:tr>
      <w:tr>
        <w:tblPrEx>
          <w:tblCellMar>
            <w:top w:w="0" w:type="dxa"/>
            <w:left w:w="108" w:type="dxa"/>
            <w:bottom w:w="0" w:type="dxa"/>
            <w:right w:w="108" w:type="dxa"/>
          </w:tblCellMar>
        </w:tblPrEx>
        <w:trPr>
          <w:trHeight w:val="334" w:hRule="atLeast"/>
          <w:jc w:val="center"/>
        </w:trPr>
        <w:tc>
          <w:tcPr>
            <w:tcW w:w="110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93"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0.0080 </w:t>
            </w:r>
          </w:p>
        </w:tc>
        <w:tc>
          <w:tcPr>
            <w:tcW w:w="164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0.0040 </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88"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-0.0031 </w:t>
            </w:r>
          </w:p>
        </w:tc>
        <w:tc>
          <w:tcPr>
            <w:tcW w:w="1616"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-0.0062 </w:t>
            </w:r>
          </w:p>
        </w:tc>
      </w:tr>
    </w:tbl>
    <w:p>
      <w:pPr>
        <w:autoSpaceDE w:val="0"/>
        <w:autoSpaceDN w:val="0"/>
        <w:adjustRightInd w:val="0"/>
        <w:snapToGrid w:val="0"/>
        <w:spacing w:before="156" w:beforeLines="50" w:line="360" w:lineRule="auto"/>
        <w:ind w:firstLine="640" w:firstLineChars="200"/>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（2）容积率修正</w:t>
      </w:r>
    </w:p>
    <w:p>
      <w:pPr>
        <w:keepNext/>
        <w:adjustRightInd w:val="0"/>
        <w:snapToGrid w:val="0"/>
        <w:spacing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 xml:space="preserve">4-5-8 </w:t>
      </w:r>
      <w:r>
        <w:rPr>
          <w:rFonts w:eastAsia="仿宋_GB2312"/>
          <w:b/>
          <w:bCs/>
          <w:color w:val="auto"/>
          <w:sz w:val="24"/>
        </w:rPr>
        <w:t xml:space="preserve"> 公共管理与公共服务用地平均楼面地价容积率修正系数表</w:t>
      </w:r>
    </w:p>
    <w:tbl>
      <w:tblPr>
        <w:tblStyle w:val="88"/>
        <w:tblW w:w="9234" w:type="dxa"/>
        <w:jc w:val="center"/>
        <w:tblLayout w:type="autofit"/>
        <w:tblCellMar>
          <w:top w:w="0" w:type="dxa"/>
          <w:left w:w="108" w:type="dxa"/>
          <w:bottom w:w="0" w:type="dxa"/>
          <w:right w:w="108" w:type="dxa"/>
        </w:tblCellMar>
      </w:tblPr>
      <w:tblGrid>
        <w:gridCol w:w="1180"/>
        <w:gridCol w:w="876"/>
        <w:gridCol w:w="876"/>
        <w:gridCol w:w="876"/>
        <w:gridCol w:w="876"/>
        <w:gridCol w:w="876"/>
        <w:gridCol w:w="876"/>
        <w:gridCol w:w="876"/>
        <w:gridCol w:w="876"/>
        <w:gridCol w:w="1046"/>
      </w:tblGrid>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容积率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1.7</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1.8</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修正系数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1.2498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1.1860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1.1306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1.0819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1.0387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0.9651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0.9335</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0.9046</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容积率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2.6</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2.7</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修正系数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0.8781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0.8537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0.8311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0.8101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0.7905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0.7722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0.7551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0.7389</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0.7238</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容积率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3.5</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3.6</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修正系数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0.7094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0.6959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0.6830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0.6708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0.6592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0.6481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0.6376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0.6275</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0.6179</w:t>
            </w:r>
          </w:p>
        </w:tc>
      </w:tr>
      <w:tr>
        <w:tblPrEx>
          <w:tblCellMar>
            <w:top w:w="0" w:type="dxa"/>
            <w:left w:w="108" w:type="dxa"/>
            <w:bottom w:w="0" w:type="dxa"/>
            <w:right w:w="108" w:type="dxa"/>
          </w:tblCellMar>
        </w:tblPrEx>
        <w:trPr>
          <w:trHeight w:val="5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容积率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hint="eastAsia" w:eastAsia="仿宋_GB2312"/>
                <w:color w:val="auto"/>
                <w:sz w:val="24"/>
              </w:rPr>
            </w:pPr>
            <w:r>
              <w:rPr>
                <w:rFonts w:eastAsia="仿宋_GB2312"/>
                <w:color w:val="auto"/>
                <w:kern w:val="0"/>
                <w:sz w:val="24"/>
                <w:lang w:bidi="ar"/>
              </w:rPr>
              <w:t>≥4</w:t>
            </w:r>
            <w:r>
              <w:rPr>
                <w:rFonts w:hint="eastAsia" w:eastAsia="仿宋_GB2312"/>
                <w:color w:val="auto"/>
                <w:kern w:val="0"/>
                <w:sz w:val="24"/>
                <w:lang w:bidi="ar"/>
              </w:rPr>
              <w:t>.0</w:t>
            </w:r>
          </w:p>
        </w:tc>
        <w:tc>
          <w:tcPr>
            <w:tcW w:w="4593" w:type="dxa"/>
            <w:gridSpan w:val="5"/>
            <w:vMerge w:val="restart"/>
            <w:tcBorders>
              <w:top w:val="single" w:color="000000" w:sz="4" w:space="0"/>
              <w:left w:val="single" w:color="000000" w:sz="4" w:space="0"/>
              <w:right w:val="single" w:color="000000" w:sz="4" w:space="0"/>
              <w:tr2bl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p>
        </w:tc>
      </w:tr>
      <w:tr>
        <w:tblPrEx>
          <w:tblCellMar>
            <w:top w:w="0" w:type="dxa"/>
            <w:left w:w="108" w:type="dxa"/>
            <w:bottom w:w="0" w:type="dxa"/>
            <w:right w:w="108" w:type="dxa"/>
          </w:tblCellMar>
        </w:tblPrEx>
        <w:trPr>
          <w:trHeight w:val="53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jc w:val="center"/>
              <w:textAlignment w:val="center"/>
              <w:rPr>
                <w:rFonts w:eastAsia="仿宋_GB2312"/>
                <w:b/>
                <w:bCs/>
                <w:color w:val="auto"/>
                <w:sz w:val="24"/>
              </w:rPr>
            </w:pPr>
            <w:r>
              <w:rPr>
                <w:rFonts w:eastAsia="仿宋_GB2312"/>
                <w:b/>
                <w:bCs/>
                <w:color w:val="auto"/>
                <w:sz w:val="24"/>
                <w:lang w:bidi="ar"/>
              </w:rPr>
              <w:t>修正系数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0.6086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0.5997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0.5912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r>
              <w:rPr>
                <w:rFonts w:eastAsia="仿宋_GB2312"/>
                <w:color w:val="auto"/>
                <w:kern w:val="0"/>
                <w:sz w:val="24"/>
                <w:lang w:bidi="ar"/>
              </w:rPr>
              <w:t>0.5831</w:t>
            </w:r>
          </w:p>
        </w:tc>
        <w:tc>
          <w:tcPr>
            <w:tcW w:w="4593" w:type="dxa"/>
            <w:gridSpan w:val="5"/>
            <w:vMerge w:val="continue"/>
            <w:tcBorders>
              <w:left w:val="single" w:color="000000" w:sz="4" w:space="0"/>
              <w:bottom w:val="single" w:color="000000" w:sz="4" w:space="0"/>
              <w:right w:val="single" w:color="000000" w:sz="4" w:space="0"/>
            </w:tcBorders>
            <w:shd w:val="clear" w:color="auto" w:fill="FFFFFF"/>
            <w:vAlign w:val="center"/>
          </w:tcPr>
          <w:p>
            <w:pPr>
              <w:widowControl/>
              <w:spacing w:line="240" w:lineRule="auto"/>
              <w:jc w:val="center"/>
              <w:textAlignment w:val="center"/>
              <w:rPr>
                <w:rFonts w:eastAsia="仿宋_GB2312"/>
                <w:color w:val="auto"/>
                <w:sz w:val="24"/>
              </w:rPr>
            </w:pPr>
          </w:p>
        </w:tc>
      </w:tr>
    </w:tbl>
    <w:p>
      <w:pPr>
        <w:adjustRightInd w:val="0"/>
        <w:snapToGrid w:val="0"/>
        <w:spacing w:before="78" w:beforeLines="25" w:line="264" w:lineRule="auto"/>
        <w:ind w:firstLine="420" w:firstLineChars="200"/>
        <w:rPr>
          <w:rFonts w:eastAsia="仿宋_GB2312"/>
          <w:color w:val="auto"/>
          <w:szCs w:val="21"/>
        </w:rPr>
      </w:pPr>
      <w:r>
        <w:rPr>
          <w:rFonts w:hint="eastAsia" w:eastAsia="仿宋_GB2312"/>
          <w:color w:val="auto"/>
          <w:szCs w:val="21"/>
        </w:rPr>
        <w:t>注：当宗地容积率在上述容积率之间时，容积率修正系数需根据上表有关数据线性内插计算得到。线性内插公式：当</w:t>
      </w:r>
      <w:r>
        <w:rPr>
          <w:rFonts w:eastAsia="仿宋_GB2312"/>
          <w:i/>
          <w:color w:val="auto"/>
          <w:szCs w:val="21"/>
        </w:rPr>
        <w:t>r</w:t>
      </w:r>
      <w:r>
        <w:rPr>
          <w:rFonts w:eastAsia="仿宋_GB2312"/>
          <w:i/>
          <w:color w:val="auto"/>
          <w:szCs w:val="21"/>
          <w:vertAlign w:val="subscript"/>
        </w:rPr>
        <w:t>1</w:t>
      </w:r>
      <w:r>
        <w:rPr>
          <w:rFonts w:hint="eastAsia" w:eastAsia="仿宋_GB2312"/>
          <w:i/>
          <w:color w:val="auto"/>
          <w:szCs w:val="21"/>
        </w:rPr>
        <w:t>＜</w:t>
      </w:r>
      <w:r>
        <w:rPr>
          <w:rFonts w:eastAsia="仿宋_GB2312"/>
          <w:i/>
          <w:color w:val="auto"/>
          <w:szCs w:val="21"/>
        </w:rPr>
        <w:t>r</w:t>
      </w:r>
      <w:r>
        <w:rPr>
          <w:rFonts w:hint="eastAsia" w:eastAsia="仿宋_GB2312"/>
          <w:i/>
          <w:color w:val="auto"/>
          <w:szCs w:val="21"/>
        </w:rPr>
        <w:t>＜</w:t>
      </w:r>
      <w:r>
        <w:rPr>
          <w:rFonts w:eastAsia="仿宋_GB2312"/>
          <w:i/>
          <w:color w:val="auto"/>
          <w:szCs w:val="21"/>
        </w:rPr>
        <w:t>r</w:t>
      </w:r>
      <w:r>
        <w:rPr>
          <w:rFonts w:eastAsia="仿宋_GB2312"/>
          <w:i/>
          <w:color w:val="auto"/>
          <w:szCs w:val="21"/>
          <w:vertAlign w:val="subscript"/>
        </w:rPr>
        <w:t>2</w:t>
      </w:r>
      <w:r>
        <w:rPr>
          <w:rFonts w:hint="eastAsia" w:eastAsia="仿宋_GB2312"/>
          <w:color w:val="auto"/>
          <w:szCs w:val="21"/>
        </w:rPr>
        <w:t>（即</w:t>
      </w:r>
      <w:r>
        <w:rPr>
          <w:rFonts w:eastAsia="仿宋_GB2312"/>
          <w:i/>
          <w:color w:val="auto"/>
          <w:szCs w:val="21"/>
        </w:rPr>
        <w:t>r</w:t>
      </w:r>
      <w:r>
        <w:rPr>
          <w:rFonts w:eastAsia="仿宋_GB2312"/>
          <w:i/>
          <w:color w:val="auto"/>
          <w:szCs w:val="21"/>
          <w:vertAlign w:val="subscript"/>
        </w:rPr>
        <w:t>1</w:t>
      </w:r>
      <w:r>
        <w:rPr>
          <w:rFonts w:hint="eastAsia" w:eastAsia="仿宋_GB2312"/>
          <w:i/>
          <w:color w:val="auto"/>
          <w:szCs w:val="21"/>
        </w:rPr>
        <w:t>、</w:t>
      </w:r>
      <w:r>
        <w:rPr>
          <w:rFonts w:eastAsia="仿宋_GB2312"/>
          <w:i/>
          <w:color w:val="auto"/>
          <w:szCs w:val="21"/>
        </w:rPr>
        <w:t>r</w:t>
      </w:r>
      <w:r>
        <w:rPr>
          <w:rFonts w:eastAsia="仿宋_GB2312"/>
          <w:i/>
          <w:color w:val="auto"/>
          <w:szCs w:val="21"/>
          <w:vertAlign w:val="subscript"/>
        </w:rPr>
        <w:t>2</w:t>
      </w:r>
      <w:r>
        <w:rPr>
          <w:rFonts w:hint="eastAsia" w:eastAsia="仿宋_GB2312"/>
          <w:color w:val="auto"/>
          <w:szCs w:val="21"/>
        </w:rPr>
        <w:t>为修正系数表中</w:t>
      </w:r>
      <w:r>
        <w:rPr>
          <w:rFonts w:eastAsia="仿宋_GB2312"/>
          <w:i/>
          <w:color w:val="auto"/>
          <w:szCs w:val="21"/>
        </w:rPr>
        <w:t>r</w:t>
      </w:r>
      <w:r>
        <w:rPr>
          <w:rFonts w:hint="eastAsia" w:eastAsia="仿宋_GB2312"/>
          <w:color w:val="auto"/>
          <w:szCs w:val="21"/>
        </w:rPr>
        <w:t>的相邻容积率）时，</w:t>
      </w:r>
      <w:r>
        <w:rPr>
          <w:rFonts w:eastAsia="仿宋_GB2312"/>
          <w:i/>
          <w:color w:val="auto"/>
          <w:szCs w:val="21"/>
        </w:rPr>
        <w:t>x</w:t>
      </w:r>
      <w:r>
        <w:rPr>
          <w:rFonts w:eastAsia="仿宋_GB2312"/>
          <w:i/>
          <w:color w:val="auto"/>
          <w:szCs w:val="21"/>
          <w:vertAlign w:val="subscript"/>
        </w:rPr>
        <w:t>1</w:t>
      </w:r>
      <w:r>
        <w:rPr>
          <w:rFonts w:hint="eastAsia" w:eastAsia="仿宋_GB2312"/>
          <w:color w:val="auto"/>
          <w:szCs w:val="21"/>
        </w:rPr>
        <w:t>、</w:t>
      </w:r>
      <w:r>
        <w:rPr>
          <w:rFonts w:eastAsia="仿宋_GB2312"/>
          <w:i/>
          <w:color w:val="auto"/>
          <w:szCs w:val="21"/>
        </w:rPr>
        <w:t>x</w:t>
      </w:r>
      <w:r>
        <w:rPr>
          <w:rFonts w:eastAsia="仿宋_GB2312"/>
          <w:i/>
          <w:color w:val="auto"/>
          <w:szCs w:val="21"/>
          <w:vertAlign w:val="subscript"/>
        </w:rPr>
        <w:t>2</w:t>
      </w:r>
      <w:r>
        <w:rPr>
          <w:rFonts w:hint="eastAsia" w:eastAsia="仿宋_GB2312"/>
          <w:color w:val="auto"/>
          <w:szCs w:val="21"/>
        </w:rPr>
        <w:t>为</w:t>
      </w:r>
      <w:r>
        <w:rPr>
          <w:rFonts w:eastAsia="仿宋_GB2312"/>
          <w:i/>
          <w:color w:val="auto"/>
          <w:szCs w:val="21"/>
        </w:rPr>
        <w:t>r</w:t>
      </w:r>
      <w:r>
        <w:rPr>
          <w:rFonts w:eastAsia="仿宋_GB2312"/>
          <w:i/>
          <w:color w:val="auto"/>
          <w:szCs w:val="21"/>
          <w:vertAlign w:val="subscript"/>
        </w:rPr>
        <w:t>1</w:t>
      </w:r>
      <w:r>
        <w:rPr>
          <w:rFonts w:hint="eastAsia" w:eastAsia="仿宋_GB2312"/>
          <w:i/>
          <w:color w:val="auto"/>
          <w:szCs w:val="21"/>
        </w:rPr>
        <w:t>、</w:t>
      </w:r>
      <w:r>
        <w:rPr>
          <w:rFonts w:eastAsia="仿宋_GB2312"/>
          <w:i/>
          <w:color w:val="auto"/>
          <w:szCs w:val="21"/>
        </w:rPr>
        <w:t>r</w:t>
      </w:r>
      <w:r>
        <w:rPr>
          <w:rFonts w:eastAsia="仿宋_GB2312"/>
          <w:i/>
          <w:color w:val="auto"/>
          <w:szCs w:val="21"/>
          <w:vertAlign w:val="subscript"/>
        </w:rPr>
        <w:t>2</w:t>
      </w:r>
      <w:r>
        <w:rPr>
          <w:rFonts w:hint="eastAsia" w:eastAsia="仿宋_GB2312"/>
          <w:color w:val="auto"/>
          <w:szCs w:val="21"/>
        </w:rPr>
        <w:t>对应的容积率修正系数，容积率的修正系数：</w:t>
      </w:r>
      <w:r>
        <w:rPr>
          <w:rFonts w:eastAsia="仿宋_GB2312"/>
          <w:i/>
          <w:color w:val="auto"/>
          <w:szCs w:val="21"/>
        </w:rPr>
        <w:t>x=x</w:t>
      </w:r>
      <w:r>
        <w:rPr>
          <w:rFonts w:eastAsia="仿宋_GB2312"/>
          <w:i/>
          <w:color w:val="auto"/>
          <w:szCs w:val="21"/>
          <w:vertAlign w:val="subscript"/>
        </w:rPr>
        <w:t>1</w:t>
      </w:r>
      <w:r>
        <w:rPr>
          <w:rFonts w:eastAsia="仿宋_GB2312"/>
          <w:i/>
          <w:color w:val="auto"/>
          <w:szCs w:val="21"/>
        </w:rPr>
        <w:t>+</w:t>
      </w:r>
      <w:r>
        <w:rPr>
          <w:rFonts w:hint="eastAsia" w:eastAsia="仿宋_GB2312"/>
          <w:i/>
          <w:color w:val="auto"/>
          <w:szCs w:val="21"/>
        </w:rPr>
        <w:t>（</w:t>
      </w:r>
      <w:r>
        <w:rPr>
          <w:rFonts w:eastAsia="仿宋_GB2312"/>
          <w:i/>
          <w:color w:val="auto"/>
          <w:szCs w:val="21"/>
        </w:rPr>
        <w:t>x</w:t>
      </w:r>
      <w:r>
        <w:rPr>
          <w:rFonts w:eastAsia="仿宋_GB2312"/>
          <w:i/>
          <w:color w:val="auto"/>
          <w:szCs w:val="21"/>
          <w:vertAlign w:val="subscript"/>
        </w:rPr>
        <w:t>2</w:t>
      </w:r>
      <w:r>
        <w:rPr>
          <w:rFonts w:eastAsia="仿宋_GB2312"/>
          <w:i/>
          <w:color w:val="auto"/>
          <w:szCs w:val="21"/>
        </w:rPr>
        <w:t>-x</w:t>
      </w:r>
      <w:r>
        <w:rPr>
          <w:rFonts w:eastAsia="仿宋_GB2312"/>
          <w:i/>
          <w:color w:val="auto"/>
          <w:szCs w:val="21"/>
          <w:vertAlign w:val="subscript"/>
        </w:rPr>
        <w:t>1</w:t>
      </w:r>
      <w:r>
        <w:rPr>
          <w:rFonts w:hint="eastAsia" w:eastAsia="仿宋_GB2312"/>
          <w:i/>
          <w:color w:val="auto"/>
          <w:szCs w:val="21"/>
        </w:rPr>
        <w:t>）</w:t>
      </w:r>
      <w:r>
        <w:rPr>
          <w:rFonts w:eastAsia="仿宋_GB2312"/>
          <w:i/>
          <w:color w:val="auto"/>
          <w:szCs w:val="21"/>
        </w:rPr>
        <w:t>×</w:t>
      </w:r>
      <w:r>
        <w:rPr>
          <w:rFonts w:hint="eastAsia" w:eastAsia="仿宋_GB2312"/>
          <w:i/>
          <w:color w:val="auto"/>
          <w:szCs w:val="21"/>
        </w:rPr>
        <w:t>（</w:t>
      </w:r>
      <w:r>
        <w:rPr>
          <w:rFonts w:eastAsia="仿宋_GB2312"/>
          <w:i/>
          <w:color w:val="auto"/>
          <w:szCs w:val="21"/>
        </w:rPr>
        <w:t>r-r</w:t>
      </w:r>
      <w:r>
        <w:rPr>
          <w:rFonts w:eastAsia="仿宋_GB2312"/>
          <w:i/>
          <w:color w:val="auto"/>
          <w:szCs w:val="21"/>
          <w:vertAlign w:val="subscript"/>
        </w:rPr>
        <w:t>1</w:t>
      </w:r>
      <w:r>
        <w:rPr>
          <w:rFonts w:hint="eastAsia" w:eastAsia="仿宋_GB2312"/>
          <w:i/>
          <w:color w:val="auto"/>
          <w:szCs w:val="21"/>
        </w:rPr>
        <w:t>）</w:t>
      </w:r>
      <w:r>
        <w:rPr>
          <w:rFonts w:eastAsia="仿宋_GB2312"/>
          <w:i/>
          <w:color w:val="auto"/>
          <w:szCs w:val="21"/>
        </w:rPr>
        <w:t>/</w:t>
      </w:r>
      <w:r>
        <w:rPr>
          <w:rFonts w:hint="eastAsia" w:eastAsia="仿宋_GB2312"/>
          <w:i/>
          <w:color w:val="auto"/>
          <w:szCs w:val="21"/>
        </w:rPr>
        <w:t>（</w:t>
      </w:r>
      <w:r>
        <w:rPr>
          <w:rFonts w:eastAsia="仿宋_GB2312"/>
          <w:i/>
          <w:color w:val="auto"/>
          <w:szCs w:val="21"/>
        </w:rPr>
        <w:t>r</w:t>
      </w:r>
      <w:r>
        <w:rPr>
          <w:rFonts w:eastAsia="仿宋_GB2312"/>
          <w:i/>
          <w:color w:val="auto"/>
          <w:szCs w:val="21"/>
          <w:vertAlign w:val="subscript"/>
        </w:rPr>
        <w:t>2</w:t>
      </w:r>
      <w:r>
        <w:rPr>
          <w:rFonts w:eastAsia="仿宋_GB2312"/>
          <w:i/>
          <w:color w:val="auto"/>
          <w:szCs w:val="21"/>
        </w:rPr>
        <w:t>-r</w:t>
      </w:r>
      <w:r>
        <w:rPr>
          <w:rFonts w:eastAsia="仿宋_GB2312"/>
          <w:i/>
          <w:color w:val="auto"/>
          <w:szCs w:val="21"/>
          <w:vertAlign w:val="subscript"/>
        </w:rPr>
        <w:t>1</w:t>
      </w:r>
      <w:r>
        <w:rPr>
          <w:rFonts w:hint="eastAsia" w:eastAsia="仿宋_GB2312"/>
          <w:i/>
          <w:color w:val="auto"/>
          <w:szCs w:val="21"/>
        </w:rPr>
        <w:t>）</w:t>
      </w:r>
      <w:r>
        <w:rPr>
          <w:rFonts w:hint="eastAsia" w:eastAsia="仿宋_GB2312"/>
          <w:color w:val="auto"/>
          <w:szCs w:val="21"/>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（3）剩余年期修正</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按照土地还原率为5.50%，公共管理与公共服务用地法定最高出让年期为50年，计算公共管理与公共服务用地剩余使用年期修正系数。年期修正系数计算公式如下：</w:t>
      </w:r>
    </w:p>
    <w:p>
      <w:pPr>
        <w:adjustRightInd w:val="0"/>
        <w:snapToGrid w:val="0"/>
        <w:spacing w:line="312" w:lineRule="auto"/>
        <w:jc w:val="center"/>
        <w:rPr>
          <w:rFonts w:eastAsia="仿宋_GB2312"/>
          <w:i/>
          <w:color w:val="auto"/>
          <w:sz w:val="24"/>
        </w:rPr>
      </w:pPr>
      <w:r>
        <w:rPr>
          <w:rFonts w:eastAsia="仿宋_GB2312"/>
          <w:color w:val="auto"/>
          <w:position w:val="-30"/>
          <w:sz w:val="24"/>
        </w:rPr>
        <w:drawing>
          <wp:inline distT="0" distB="0" distL="0" distR="0">
            <wp:extent cx="1323975" cy="476250"/>
            <wp:effectExtent l="0" t="0" r="0" b="0"/>
            <wp:docPr id="3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1323975" cy="4762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4659" w:type="dxa"/>
        <w:jc w:val="center"/>
        <w:tblLayout w:type="fixed"/>
        <w:tblCellMar>
          <w:top w:w="0" w:type="dxa"/>
          <w:left w:w="108" w:type="dxa"/>
          <w:bottom w:w="0" w:type="dxa"/>
          <w:right w:w="108" w:type="dxa"/>
        </w:tblCellMar>
      </w:tblPr>
      <w:tblGrid>
        <w:gridCol w:w="528"/>
        <w:gridCol w:w="667"/>
        <w:gridCol w:w="3464"/>
      </w:tblGrid>
      <w:tr>
        <w:tblPrEx>
          <w:tblCellMar>
            <w:top w:w="0" w:type="dxa"/>
            <w:left w:w="108" w:type="dxa"/>
            <w:bottom w:w="0" w:type="dxa"/>
            <w:right w:w="108" w:type="dxa"/>
          </w:tblCellMar>
        </w:tblPrEx>
        <w:trPr>
          <w:trHeight w:val="629" w:hRule="atLeast"/>
          <w:jc w:val="center"/>
        </w:trPr>
        <w:tc>
          <w:tcPr>
            <w:tcW w:w="528" w:type="dxa"/>
            <w:vAlign w:val="center"/>
          </w:tcPr>
          <w:p>
            <w:pPr>
              <w:adjustRightInd w:val="0"/>
              <w:snapToGrid w:val="0"/>
              <w:spacing w:line="312" w:lineRule="auto"/>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67"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464" w:type="dxa"/>
            <w:vAlign w:val="center"/>
          </w:tcPr>
          <w:p>
            <w:pPr>
              <w:adjustRightInd w:val="0"/>
              <w:snapToGrid w:val="0"/>
              <w:spacing w:line="312" w:lineRule="auto"/>
              <w:rPr>
                <w:rFonts w:eastAsia="仿宋_GB2312"/>
                <w:color w:val="auto"/>
                <w:sz w:val="24"/>
              </w:rPr>
            </w:pPr>
            <w:r>
              <w:rPr>
                <w:rFonts w:hint="eastAsia" w:eastAsia="仿宋_GB2312"/>
                <w:color w:val="auto"/>
                <w:sz w:val="24"/>
              </w:rPr>
              <w:t>剩余使用</w:t>
            </w:r>
            <w:r>
              <w:rPr>
                <w:rFonts w:eastAsia="仿宋_GB2312"/>
                <w:color w:val="auto"/>
                <w:sz w:val="24"/>
              </w:rPr>
              <w:t>年期修正系数</w:t>
            </w:r>
          </w:p>
        </w:tc>
      </w:tr>
      <w:tr>
        <w:tblPrEx>
          <w:tblCellMar>
            <w:top w:w="0" w:type="dxa"/>
            <w:left w:w="108" w:type="dxa"/>
            <w:bottom w:w="0" w:type="dxa"/>
            <w:right w:w="108" w:type="dxa"/>
          </w:tblCellMar>
        </w:tblPrEx>
        <w:trPr>
          <w:trHeight w:val="629" w:hRule="atLeast"/>
          <w:jc w:val="center"/>
        </w:trPr>
        <w:tc>
          <w:tcPr>
            <w:tcW w:w="528" w:type="dxa"/>
            <w:vAlign w:val="center"/>
          </w:tcPr>
          <w:p>
            <w:pPr>
              <w:adjustRightInd w:val="0"/>
              <w:snapToGrid w:val="0"/>
              <w:spacing w:line="312" w:lineRule="auto"/>
              <w:rPr>
                <w:rFonts w:eastAsia="仿宋_GB2312"/>
                <w:i/>
                <w:color w:val="auto"/>
                <w:sz w:val="24"/>
              </w:rPr>
            </w:pPr>
            <w:r>
              <w:rPr>
                <w:rFonts w:eastAsia="仿宋_GB2312"/>
                <w:i/>
                <w:color w:val="auto"/>
                <w:sz w:val="24"/>
              </w:rPr>
              <w:t>m1</w:t>
            </w:r>
          </w:p>
        </w:tc>
        <w:tc>
          <w:tcPr>
            <w:tcW w:w="667"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464" w:type="dxa"/>
            <w:vAlign w:val="center"/>
          </w:tcPr>
          <w:p>
            <w:pPr>
              <w:adjustRightInd w:val="0"/>
              <w:snapToGrid w:val="0"/>
              <w:spacing w:line="312" w:lineRule="auto"/>
              <w:rPr>
                <w:rFonts w:eastAsia="仿宋_GB2312"/>
                <w:color w:val="auto"/>
                <w:sz w:val="24"/>
              </w:rPr>
            </w:pPr>
            <w:r>
              <w:rPr>
                <w:rFonts w:eastAsia="仿宋_GB2312"/>
                <w:color w:val="auto"/>
                <w:sz w:val="24"/>
              </w:rPr>
              <w:t>实际出让年期</w:t>
            </w:r>
          </w:p>
        </w:tc>
      </w:tr>
      <w:tr>
        <w:tblPrEx>
          <w:tblCellMar>
            <w:top w:w="0" w:type="dxa"/>
            <w:left w:w="108" w:type="dxa"/>
            <w:bottom w:w="0" w:type="dxa"/>
            <w:right w:w="108" w:type="dxa"/>
          </w:tblCellMar>
        </w:tblPrEx>
        <w:trPr>
          <w:trHeight w:val="629" w:hRule="atLeast"/>
          <w:jc w:val="center"/>
        </w:trPr>
        <w:tc>
          <w:tcPr>
            <w:tcW w:w="528" w:type="dxa"/>
            <w:vAlign w:val="center"/>
          </w:tcPr>
          <w:p>
            <w:pPr>
              <w:adjustRightInd w:val="0"/>
              <w:snapToGrid w:val="0"/>
              <w:spacing w:line="312" w:lineRule="auto"/>
              <w:rPr>
                <w:rFonts w:eastAsia="仿宋_GB2312"/>
                <w:i/>
                <w:color w:val="auto"/>
                <w:sz w:val="24"/>
              </w:rPr>
            </w:pPr>
            <w:r>
              <w:rPr>
                <w:rFonts w:eastAsia="仿宋_GB2312"/>
                <w:i/>
                <w:color w:val="auto"/>
                <w:sz w:val="24"/>
              </w:rPr>
              <w:t>m</w:t>
            </w:r>
          </w:p>
        </w:tc>
        <w:tc>
          <w:tcPr>
            <w:tcW w:w="667"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464" w:type="dxa"/>
            <w:vAlign w:val="center"/>
          </w:tcPr>
          <w:p>
            <w:pPr>
              <w:adjustRightInd w:val="0"/>
              <w:snapToGrid w:val="0"/>
              <w:spacing w:line="312" w:lineRule="auto"/>
              <w:rPr>
                <w:rFonts w:eastAsia="仿宋_GB2312"/>
                <w:color w:val="auto"/>
                <w:sz w:val="24"/>
              </w:rPr>
            </w:pPr>
            <w:r>
              <w:rPr>
                <w:rFonts w:eastAsia="仿宋_GB2312"/>
                <w:color w:val="auto"/>
                <w:sz w:val="24"/>
              </w:rPr>
              <w:t>土地使用权法定最高出让年限</w:t>
            </w:r>
          </w:p>
        </w:tc>
      </w:tr>
      <w:tr>
        <w:tblPrEx>
          <w:tblCellMar>
            <w:top w:w="0" w:type="dxa"/>
            <w:left w:w="108" w:type="dxa"/>
            <w:bottom w:w="0" w:type="dxa"/>
            <w:right w:w="108" w:type="dxa"/>
          </w:tblCellMar>
        </w:tblPrEx>
        <w:trPr>
          <w:trHeight w:val="629" w:hRule="atLeast"/>
          <w:jc w:val="center"/>
        </w:trPr>
        <w:tc>
          <w:tcPr>
            <w:tcW w:w="528" w:type="dxa"/>
            <w:vAlign w:val="center"/>
          </w:tcPr>
          <w:p>
            <w:pPr>
              <w:adjustRightInd w:val="0"/>
              <w:snapToGrid w:val="0"/>
              <w:spacing w:line="312" w:lineRule="auto"/>
              <w:rPr>
                <w:rFonts w:eastAsia="仿宋_GB2312"/>
                <w:i/>
                <w:color w:val="auto"/>
                <w:sz w:val="24"/>
              </w:rPr>
            </w:pPr>
            <w:r>
              <w:rPr>
                <w:rFonts w:eastAsia="仿宋_GB2312"/>
                <w:i/>
                <w:color w:val="auto"/>
                <w:sz w:val="24"/>
              </w:rPr>
              <w:t>r</w:t>
            </w:r>
          </w:p>
        </w:tc>
        <w:tc>
          <w:tcPr>
            <w:tcW w:w="667"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464" w:type="dxa"/>
            <w:vAlign w:val="center"/>
          </w:tcPr>
          <w:p>
            <w:pPr>
              <w:adjustRightInd w:val="0"/>
              <w:snapToGrid w:val="0"/>
              <w:spacing w:line="312" w:lineRule="auto"/>
              <w:rPr>
                <w:rFonts w:eastAsia="仿宋_GB2312"/>
                <w:color w:val="auto"/>
                <w:sz w:val="24"/>
              </w:rPr>
            </w:pPr>
            <w:r>
              <w:rPr>
                <w:rFonts w:eastAsia="仿宋_GB2312"/>
                <w:color w:val="auto"/>
                <w:sz w:val="24"/>
              </w:rPr>
              <w:t>土地</w:t>
            </w:r>
            <w:r>
              <w:rPr>
                <w:rFonts w:hint="eastAsia" w:eastAsia="仿宋_GB2312"/>
                <w:color w:val="auto"/>
                <w:sz w:val="24"/>
              </w:rPr>
              <w:t>还原率</w:t>
            </w:r>
          </w:p>
        </w:tc>
      </w:tr>
    </w:tbl>
    <w:p>
      <w:pPr>
        <w:keepNext/>
        <w:adjustRightInd w:val="0"/>
        <w:snapToGrid w:val="0"/>
        <w:spacing w:before="156" w:beforeLines="50" w:line="312" w:lineRule="auto"/>
        <w:jc w:val="center"/>
        <w:rPr>
          <w:rFonts w:eastAsia="仿宋_GB2312"/>
          <w:b/>
          <w:bCs/>
          <w:vanish/>
          <w:color w:val="auto"/>
          <w:sz w:val="24"/>
        </w:rPr>
      </w:pPr>
    </w:p>
    <w:p>
      <w:pPr>
        <w:keepNext/>
        <w:adjustRightInd w:val="0"/>
        <w:snapToGrid w:val="0"/>
        <w:spacing w:before="156" w:beforeLines="50" w:line="312" w:lineRule="auto"/>
        <w:jc w:val="center"/>
        <w:rPr>
          <w:rFonts w:eastAsia="仿宋_GB2312"/>
          <w:b/>
          <w:bCs/>
          <w:vanish/>
          <w:color w:val="auto"/>
          <w:sz w:val="24"/>
        </w:rPr>
      </w:pPr>
    </w:p>
    <w:p>
      <w:pPr>
        <w:keepNext/>
        <w:adjustRightInd w:val="0"/>
        <w:snapToGrid w:val="0"/>
        <w:spacing w:before="156" w:beforeLines="50" w:line="312" w:lineRule="auto"/>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4-5-9 </w:t>
      </w:r>
      <w:r>
        <w:rPr>
          <w:rFonts w:eastAsia="仿宋_GB2312"/>
          <w:b/>
          <w:color w:val="auto"/>
          <w:sz w:val="24"/>
        </w:rPr>
        <w:t xml:space="preserve"> 公共管理与公共服务用地</w:t>
      </w:r>
      <w:r>
        <w:rPr>
          <w:rFonts w:hint="eastAsia" w:eastAsia="仿宋_GB2312"/>
          <w:b/>
          <w:color w:val="auto"/>
          <w:sz w:val="24"/>
        </w:rPr>
        <w:t>剩余使用</w:t>
      </w:r>
      <w:r>
        <w:rPr>
          <w:rFonts w:eastAsia="仿宋_GB2312"/>
          <w:b/>
          <w:color w:val="auto"/>
          <w:sz w:val="24"/>
        </w:rPr>
        <w:t>年期修正系数表</w:t>
      </w:r>
    </w:p>
    <w:tbl>
      <w:tblPr>
        <w:tblStyle w:val="88"/>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779"/>
        <w:gridCol w:w="779"/>
        <w:gridCol w:w="779"/>
        <w:gridCol w:w="781"/>
        <w:gridCol w:w="781"/>
        <w:gridCol w:w="781"/>
        <w:gridCol w:w="781"/>
        <w:gridCol w:w="781"/>
        <w:gridCol w:w="781"/>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剩余年限</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kern w:val="0"/>
                <w:sz w:val="24"/>
              </w:rPr>
            </w:pPr>
            <w:r>
              <w:rPr>
                <w:rFonts w:eastAsia="仿宋_GB2312"/>
                <w:color w:val="auto"/>
                <w:spacing w:val="-20"/>
                <w:sz w:val="24"/>
              </w:rPr>
              <w:t>1</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修正系数</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0.0560</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0.1090</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0.1593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0.2070</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0.2522</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0.2950</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0.3356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0.3741</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0.4106</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0.4452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剩余年限</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11</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修正系数</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0.4780</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0.5090</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0.5385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0.5664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0.5928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0.6179</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0.6417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0.6642</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0.6856</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剩余年限</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21</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29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修正系数</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0.7250</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0.7432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0.7604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0.7768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0.7922</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0.8069</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0.8208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0.8340</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0.8465</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0.8584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剩余年限</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31</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39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修正系数</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0.8696</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0.8803</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0.8904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0.8999</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0.9090</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0.9176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0.9257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0.9335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0.9408</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0.9477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剩余年限</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41</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42</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45</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46</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48</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49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68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spacing w:val="-20"/>
                <w:kern w:val="0"/>
                <w:sz w:val="24"/>
              </w:rPr>
            </w:pPr>
            <w:r>
              <w:rPr>
                <w:rFonts w:eastAsia="仿宋_GB2312"/>
                <w:b/>
                <w:color w:val="auto"/>
                <w:spacing w:val="-20"/>
                <w:kern w:val="0"/>
                <w:sz w:val="24"/>
              </w:rPr>
              <w:t>修正系数</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0.9543</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0.9605</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0.9664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0.9720</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0.9773</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0.9824</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0.9871</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0.9917</w:t>
            </w:r>
          </w:p>
        </w:tc>
        <w:tc>
          <w:tcPr>
            <w:tcW w:w="4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0.9959</w:t>
            </w:r>
          </w:p>
        </w:tc>
        <w:tc>
          <w:tcPr>
            <w:tcW w:w="43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1.0000</w:t>
            </w:r>
          </w:p>
        </w:tc>
      </w:tr>
    </w:tbl>
    <w:p>
      <w:pPr>
        <w:adjustRightInd w:val="0"/>
        <w:snapToGrid w:val="0"/>
        <w:spacing w:line="264"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在进行宗地评估时可根据公式</w:t>
      </w:r>
      <w:r>
        <w:rPr>
          <w:rFonts w:eastAsia="仿宋_GB2312"/>
          <w:i/>
          <w:iCs/>
          <w:color w:val="auto"/>
          <w:szCs w:val="21"/>
        </w:rPr>
        <w:t>K</w:t>
      </w:r>
      <w:r>
        <w:rPr>
          <w:rFonts w:eastAsia="仿宋_GB2312"/>
          <w:i/>
          <w:iCs/>
          <w:color w:val="auto"/>
          <w:szCs w:val="21"/>
          <w:vertAlign w:val="subscript"/>
        </w:rPr>
        <w:t>y</w:t>
      </w:r>
      <w:r>
        <w:rPr>
          <w:rFonts w:eastAsia="仿宋_GB2312"/>
          <w:i/>
          <w:iCs/>
          <w:color w:val="auto"/>
          <w:szCs w:val="21"/>
        </w:rPr>
        <w:t>=[1－（1÷（1+r）</w:t>
      </w:r>
      <w:r>
        <w:rPr>
          <w:rFonts w:eastAsia="仿宋_GB2312"/>
          <w:i/>
          <w:iCs/>
          <w:color w:val="auto"/>
          <w:szCs w:val="21"/>
          <w:vertAlign w:val="superscript"/>
        </w:rPr>
        <w:t>ml</w:t>
      </w:r>
      <w:r>
        <w:rPr>
          <w:rFonts w:eastAsia="仿宋_GB2312"/>
          <w:i/>
          <w:iCs/>
          <w:color w:val="auto"/>
          <w:szCs w:val="21"/>
        </w:rPr>
        <w:t>）]÷[1－[1÷（1+r）</w:t>
      </w:r>
      <w:r>
        <w:rPr>
          <w:rFonts w:eastAsia="仿宋_GB2312"/>
          <w:i/>
          <w:iCs/>
          <w:color w:val="auto"/>
          <w:szCs w:val="21"/>
          <w:vertAlign w:val="superscript"/>
        </w:rPr>
        <w:t>m</w:t>
      </w:r>
      <w:r>
        <w:rPr>
          <w:rFonts w:eastAsia="仿宋_GB2312"/>
          <w:i/>
          <w:iCs/>
          <w:color w:val="auto"/>
          <w:szCs w:val="21"/>
        </w:rPr>
        <w:t>]</w:t>
      </w:r>
      <w:r>
        <w:rPr>
          <w:rFonts w:eastAsia="仿宋_GB2312"/>
          <w:color w:val="auto"/>
          <w:szCs w:val="21"/>
        </w:rPr>
        <w:t>直接计算</w:t>
      </w:r>
      <w:r>
        <w:rPr>
          <w:rFonts w:hint="eastAsia" w:eastAsia="仿宋_GB2312"/>
          <w:color w:val="auto"/>
          <w:szCs w:val="21"/>
          <w:lang w:eastAsia="zh-CN"/>
        </w:rPr>
        <w:t>。</w:t>
      </w:r>
    </w:p>
    <w:p>
      <w:pPr>
        <w:adjustRightInd w:val="0"/>
        <w:snapToGrid w:val="0"/>
        <w:spacing w:line="264" w:lineRule="auto"/>
        <w:ind w:firstLine="420" w:firstLineChars="200"/>
        <w:rPr>
          <w:rFonts w:eastAsia="仿宋_GB2312"/>
          <w:color w:val="auto"/>
          <w:szCs w:val="21"/>
        </w:rPr>
      </w:pPr>
      <w:r>
        <w:rPr>
          <w:rFonts w:hint="eastAsia" w:eastAsia="仿宋_GB2312" w:cs="宋体"/>
          <w:color w:val="auto"/>
          <w:szCs w:val="21"/>
        </w:rPr>
        <w:t>②</w:t>
      </w:r>
      <w:r>
        <w:rPr>
          <w:rFonts w:eastAsia="仿宋_GB2312"/>
          <w:color w:val="auto"/>
          <w:szCs w:val="21"/>
        </w:rPr>
        <w:t>表中为</w:t>
      </w:r>
      <w:r>
        <w:rPr>
          <w:rFonts w:hint="eastAsia" w:eastAsia="仿宋_GB2312"/>
          <w:color w:val="auto"/>
          <w:szCs w:val="21"/>
        </w:rPr>
        <w:t>公共管理与公共服务用地还原率</w:t>
      </w:r>
      <w:r>
        <w:rPr>
          <w:rFonts w:eastAsia="仿宋_GB2312"/>
          <w:color w:val="auto"/>
          <w:szCs w:val="21"/>
        </w:rPr>
        <w:t>取5.50％条件下的年期修正系数</w:t>
      </w:r>
    </w:p>
    <w:p>
      <w:pPr>
        <w:autoSpaceDE w:val="0"/>
        <w:autoSpaceDN w:val="0"/>
        <w:adjustRightInd w:val="0"/>
        <w:snapToGrid w:val="0"/>
        <w:spacing w:line="360" w:lineRule="auto"/>
        <w:ind w:firstLine="562" w:firstLineChars="200"/>
        <w:outlineLvl w:val="3"/>
        <w:rPr>
          <w:rFonts w:hint="eastAsia" w:eastAsia="仿宋_GB2312"/>
          <w:b/>
          <w:color w:val="auto"/>
          <w:sz w:val="28"/>
          <w:szCs w:val="28"/>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（4）个别因素修正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①临路条件修正</w:t>
      </w:r>
    </w:p>
    <w:p>
      <w:pPr>
        <w:adjustRightInd w:val="0"/>
        <w:snapToGrid w:val="0"/>
        <w:spacing w:line="312" w:lineRule="auto"/>
        <w:ind w:firstLine="481" w:firstLineChars="200"/>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4-5-10  </w:t>
      </w:r>
      <w:r>
        <w:rPr>
          <w:rFonts w:eastAsia="仿宋_GB2312"/>
          <w:b/>
          <w:color w:val="auto"/>
          <w:sz w:val="24"/>
        </w:rPr>
        <w:t>临路条件修正系数表</w:t>
      </w:r>
    </w:p>
    <w:tbl>
      <w:tblPr>
        <w:tblStyle w:val="88"/>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2129"/>
        <w:gridCol w:w="2129"/>
        <w:gridCol w:w="1762"/>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66"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临路条件</w:t>
            </w:r>
          </w:p>
        </w:tc>
        <w:tc>
          <w:tcPr>
            <w:tcW w:w="1170"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临生活型道路</w:t>
            </w:r>
          </w:p>
        </w:tc>
        <w:tc>
          <w:tcPr>
            <w:tcW w:w="1170"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临步行街、商业街</w:t>
            </w:r>
          </w:p>
        </w:tc>
        <w:tc>
          <w:tcPr>
            <w:tcW w:w="968"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临混合型道路</w:t>
            </w:r>
          </w:p>
        </w:tc>
        <w:tc>
          <w:tcPr>
            <w:tcW w:w="923"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临交通型道路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66"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1.15~1.20</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1.10~1.15</w:t>
            </w:r>
          </w:p>
        </w:tc>
        <w:tc>
          <w:tcPr>
            <w:tcW w:w="968"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1.05~1.10</w:t>
            </w:r>
          </w:p>
        </w:tc>
        <w:tc>
          <w:tcPr>
            <w:tcW w:w="923" w:type="pct"/>
            <w:tcBorders>
              <w:bottom w:val="single" w:color="auto" w:sz="4" w:space="0"/>
            </w:tcBorders>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0.98~1.0</w:t>
            </w:r>
            <w:r>
              <w:rPr>
                <w:rFonts w:hint="eastAsia" w:eastAsia="仿宋_GB2312"/>
                <w:color w:val="auto"/>
                <w:spacing w:val="-12"/>
                <w:kern w:val="0"/>
                <w:sz w:val="24"/>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66"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临路条件</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b/>
                <w:bCs/>
                <w:color w:val="auto"/>
                <w:kern w:val="0"/>
                <w:sz w:val="24"/>
              </w:rPr>
              <w:t>临支路、小区道路</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b/>
                <w:bCs/>
                <w:color w:val="auto"/>
                <w:kern w:val="0"/>
                <w:sz w:val="24"/>
              </w:rPr>
              <w:t>临老街、小巷</w:t>
            </w:r>
          </w:p>
        </w:tc>
        <w:tc>
          <w:tcPr>
            <w:tcW w:w="968"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b/>
                <w:bCs/>
                <w:color w:val="auto"/>
                <w:kern w:val="0"/>
                <w:sz w:val="24"/>
              </w:rPr>
              <w:t>不临路</w:t>
            </w:r>
          </w:p>
        </w:tc>
        <w:tc>
          <w:tcPr>
            <w:tcW w:w="923" w:type="pct"/>
            <w:vMerge w:val="restart"/>
            <w:tcBorders>
              <w:tl2br w:val="single" w:color="auto" w:sz="4" w:space="0"/>
            </w:tcBorders>
            <w:vAlign w:val="center"/>
          </w:tcPr>
          <w:p>
            <w:pPr>
              <w:adjustRightInd w:val="0"/>
              <w:snapToGrid w:val="0"/>
              <w:spacing w:line="240" w:lineRule="auto"/>
              <w:jc w:val="center"/>
              <w:rPr>
                <w:rFonts w:eastAsia="仿宋_GB2312"/>
                <w:color w:val="auto"/>
                <w:spacing w:val="-12"/>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66" w:type="pct"/>
            <w:vAlign w:val="center"/>
          </w:tcPr>
          <w:p>
            <w:pPr>
              <w:adjustRightInd w:val="0"/>
              <w:snapToGrid w:val="0"/>
              <w:spacing w:line="240" w:lineRule="auto"/>
              <w:jc w:val="center"/>
              <w:rPr>
                <w:rFonts w:eastAsia="仿宋_GB2312"/>
                <w:b/>
                <w:bCs/>
                <w:color w:val="auto"/>
                <w:kern w:val="0"/>
                <w:sz w:val="24"/>
              </w:rPr>
            </w:pPr>
            <w:r>
              <w:rPr>
                <w:rFonts w:eastAsia="仿宋_GB2312"/>
                <w:b/>
                <w:bCs/>
                <w:color w:val="auto"/>
                <w:kern w:val="0"/>
                <w:sz w:val="24"/>
              </w:rPr>
              <w:t>修正系数</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0.88~0.9</w:t>
            </w:r>
            <w:r>
              <w:rPr>
                <w:rFonts w:hint="eastAsia" w:eastAsia="仿宋_GB2312"/>
                <w:color w:val="auto"/>
                <w:spacing w:val="-12"/>
                <w:kern w:val="0"/>
                <w:sz w:val="24"/>
                <w:szCs w:val="21"/>
              </w:rPr>
              <w:t>8</w:t>
            </w:r>
          </w:p>
        </w:tc>
        <w:tc>
          <w:tcPr>
            <w:tcW w:w="1170"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0.85~0.90</w:t>
            </w:r>
          </w:p>
        </w:tc>
        <w:tc>
          <w:tcPr>
            <w:tcW w:w="968" w:type="pct"/>
            <w:vAlign w:val="center"/>
          </w:tcPr>
          <w:p>
            <w:pPr>
              <w:adjustRightInd w:val="0"/>
              <w:snapToGrid w:val="0"/>
              <w:spacing w:line="240" w:lineRule="auto"/>
              <w:jc w:val="center"/>
              <w:rPr>
                <w:rFonts w:eastAsia="仿宋_GB2312"/>
                <w:color w:val="auto"/>
                <w:spacing w:val="-12"/>
                <w:kern w:val="0"/>
                <w:sz w:val="24"/>
                <w:szCs w:val="21"/>
              </w:rPr>
            </w:pPr>
            <w:r>
              <w:rPr>
                <w:rFonts w:eastAsia="仿宋_GB2312"/>
                <w:color w:val="auto"/>
                <w:spacing w:val="-12"/>
                <w:kern w:val="0"/>
                <w:sz w:val="24"/>
                <w:szCs w:val="21"/>
              </w:rPr>
              <w:t>0.80~0.85</w:t>
            </w:r>
          </w:p>
        </w:tc>
        <w:tc>
          <w:tcPr>
            <w:tcW w:w="923" w:type="pct"/>
            <w:vMerge w:val="continue"/>
            <w:tcBorders>
              <w:tl2br w:val="single" w:color="auto" w:sz="4" w:space="0"/>
            </w:tcBorders>
            <w:vAlign w:val="center"/>
          </w:tcPr>
          <w:p>
            <w:pPr>
              <w:adjustRightInd w:val="0"/>
              <w:snapToGrid w:val="0"/>
              <w:spacing w:line="240" w:lineRule="auto"/>
              <w:jc w:val="center"/>
              <w:rPr>
                <w:rFonts w:eastAsia="仿宋_GB2312"/>
                <w:color w:val="auto"/>
                <w:spacing w:val="-12"/>
                <w:kern w:val="0"/>
                <w:sz w:val="24"/>
                <w:szCs w:val="21"/>
              </w:rPr>
            </w:pPr>
          </w:p>
        </w:tc>
      </w:tr>
    </w:tbl>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②其他个别因素修正</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其他个别因素修正系数（Kg）的计算公式为：</w:t>
      </w:r>
    </w:p>
    <w:p>
      <w:pPr>
        <w:adjustRightInd w:val="0"/>
        <w:spacing w:line="360" w:lineRule="auto"/>
        <w:jc w:val="center"/>
        <w:textAlignment w:val="baseline"/>
        <w:rPr>
          <w:rFonts w:eastAsia="仿宋_GB2312"/>
          <w:b/>
          <w:i/>
          <w:color w:val="auto"/>
          <w:kern w:val="28"/>
          <w:sz w:val="28"/>
          <w:szCs w:val="28"/>
        </w:rPr>
      </w:pPr>
      <w:r>
        <w:rPr>
          <w:rFonts w:eastAsia="仿宋_GB2312"/>
          <w:b/>
          <w:i/>
          <w:color w:val="auto"/>
          <w:kern w:val="28"/>
          <w:sz w:val="28"/>
          <w:szCs w:val="28"/>
        </w:rPr>
        <w:t>K</w:t>
      </w:r>
      <w:r>
        <w:rPr>
          <w:rFonts w:eastAsia="仿宋_GB2312"/>
          <w:b/>
          <w:i/>
          <w:color w:val="auto"/>
          <w:sz w:val="28"/>
          <w:szCs w:val="28"/>
          <w:vertAlign w:val="subscript"/>
        </w:rPr>
        <w:t>g</w:t>
      </w:r>
      <w:r>
        <w:rPr>
          <w:rFonts w:eastAsia="仿宋_GB2312"/>
          <w:b/>
          <w:i/>
          <w:color w:val="auto"/>
          <w:kern w:val="28"/>
          <w:sz w:val="28"/>
          <w:szCs w:val="28"/>
        </w:rPr>
        <w:t>=∏（1+K</w:t>
      </w:r>
      <w:r>
        <w:rPr>
          <w:rFonts w:eastAsia="仿宋_GB2312"/>
          <w:b/>
          <w:i/>
          <w:color w:val="auto"/>
          <w:sz w:val="28"/>
          <w:szCs w:val="28"/>
          <w:vertAlign w:val="subscript"/>
        </w:rPr>
        <w:t>gi</w:t>
      </w:r>
      <w:r>
        <w:rPr>
          <w:rFonts w:eastAsia="仿宋_GB2312"/>
          <w:b/>
          <w:i/>
          <w:color w:val="auto"/>
          <w:kern w:val="28"/>
          <w:sz w:val="28"/>
          <w:szCs w:val="28"/>
        </w:rPr>
        <w:t>）</w:t>
      </w:r>
    </w:p>
    <w:p>
      <w:pPr>
        <w:keepNext/>
        <w:keepLines w:val="0"/>
        <w:pageBreakBefore w:val="0"/>
        <w:widowControl w:val="0"/>
        <w:kinsoku/>
        <w:wordWrap/>
        <w:overflowPunct/>
        <w:topLinePunct w:val="0"/>
        <w:autoSpaceDE/>
        <w:autoSpaceDN/>
        <w:bidi w:val="0"/>
        <w:adjustRightInd/>
        <w:snapToGrid w:val="0"/>
        <w:spacing w:line="312" w:lineRule="auto"/>
        <w:ind w:firstLine="420"/>
        <w:jc w:val="center"/>
        <w:textAlignment w:val="auto"/>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4-5-11  </w:t>
      </w:r>
      <w:r>
        <w:rPr>
          <w:rFonts w:eastAsia="仿宋_GB2312"/>
          <w:b/>
          <w:color w:val="auto"/>
          <w:sz w:val="24"/>
        </w:rPr>
        <w:t>公共管理与公共服务用地其他个别因素修正系数表</w:t>
      </w:r>
    </w:p>
    <w:tbl>
      <w:tblPr>
        <w:tblStyle w:val="88"/>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465"/>
        <w:gridCol w:w="1469"/>
        <w:gridCol w:w="1640"/>
        <w:gridCol w:w="1469"/>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blHeader/>
          <w:jc w:val="center"/>
        </w:trPr>
        <w:tc>
          <w:tcPr>
            <w:tcW w:w="754" w:type="pct"/>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b/>
                <w:bCs/>
                <w:color w:val="auto"/>
                <w:sz w:val="24"/>
              </w:rPr>
            </w:pPr>
            <w:r>
              <w:rPr>
                <w:rFonts w:eastAsia="仿宋_GB2312"/>
                <w:b/>
                <w:bCs/>
                <w:color w:val="auto"/>
                <w:sz w:val="24"/>
              </w:rPr>
              <w:t>优劣度</w:t>
            </w:r>
          </w:p>
          <w:p>
            <w:pPr>
              <w:adjustRightInd w:val="0"/>
              <w:snapToGrid w:val="0"/>
              <w:spacing w:line="240" w:lineRule="auto"/>
              <w:rPr>
                <w:rFonts w:eastAsia="仿宋_GB2312"/>
                <w:b/>
                <w:bCs/>
                <w:color w:val="auto"/>
                <w:kern w:val="0"/>
                <w:sz w:val="24"/>
              </w:rPr>
            </w:pPr>
            <w:r>
              <w:rPr>
                <w:rFonts w:eastAsia="仿宋_GB2312"/>
                <w:b/>
                <w:bCs/>
                <w:color w:val="auto"/>
                <w:sz w:val="24"/>
              </w:rPr>
              <w:t>因素</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优</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较优</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一般</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较劣</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bCs/>
                <w:color w:val="auto"/>
                <w:sz w:val="24"/>
              </w:rPr>
            </w:pPr>
            <w:r>
              <w:rPr>
                <w:rFonts w:eastAsia="仿宋_GB2312"/>
                <w:b/>
                <w:bCs/>
                <w:color w:val="auto"/>
                <w:sz w:val="24"/>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宗地面积</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面积适中，对土地利用极为有利</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面积对土地利用较为有利</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面积对土地利用无不良影响</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面积较小，对土地利用有一定影响</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面积过小，对土地利用产生严重影响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宗地形状</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形状规则，对土地利用合理</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形状较规则，土地利用较为合理</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形状一般，土地利用无不良影响</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形状不规则，对土地利用不合理</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形状不规则，对土地利用产生严重影响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-0.01</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1"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宗地地势</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地势平坦；承载力强</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地势较平坦，坡度&lt;2%，对建筑无影响；承载力强</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地势较平坦，坡度&lt;5%，对建筑影响较小；承载力较强</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地势不太平坦，需考虑坡度的影响；承载力一般</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pacing w:val="-20"/>
                <w:sz w:val="24"/>
              </w:rPr>
            </w:pPr>
            <w:r>
              <w:rPr>
                <w:rFonts w:eastAsia="仿宋_GB2312"/>
                <w:color w:val="auto"/>
                <w:spacing w:val="-20"/>
                <w:sz w:val="24"/>
              </w:rPr>
              <w:t>地势很不平坦，需经过平整才能使用；承载力差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5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b/>
                <w:color w:val="auto"/>
                <w:kern w:val="0"/>
                <w:sz w:val="24"/>
                <w:szCs w:val="21"/>
              </w:rPr>
            </w:pPr>
            <w:r>
              <w:rPr>
                <w:rFonts w:eastAsia="仿宋_GB2312"/>
                <w:b/>
                <w:color w:val="auto"/>
                <w:kern w:val="0"/>
                <w:sz w:val="24"/>
                <w:szCs w:val="21"/>
              </w:rPr>
              <w:t>修正系数</w:t>
            </w:r>
          </w:p>
        </w:tc>
        <w:tc>
          <w:tcPr>
            <w:tcW w:w="805"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9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w:t>
            </w:r>
          </w:p>
        </w:tc>
        <w:tc>
          <w:tcPr>
            <w:tcW w:w="80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-0.01</w:t>
            </w:r>
          </w:p>
        </w:tc>
        <w:tc>
          <w:tcPr>
            <w:tcW w:w="9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olor w:val="auto"/>
                <w:sz w:val="24"/>
              </w:rPr>
            </w:pPr>
            <w:r>
              <w:rPr>
                <w:rFonts w:eastAsia="仿宋_GB2312"/>
                <w:color w:val="auto"/>
                <w:sz w:val="24"/>
              </w:rPr>
              <w:t>-0.02</w:t>
            </w:r>
          </w:p>
        </w:tc>
      </w:tr>
    </w:tbl>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（5）土地开发程度修正</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公共管理与公共服务用地基准地价为“五通一平（宗地红线外通路、通电、通上水、通下水、通讯，宗地红线内场地平整）”土地开发程度下的熟地价格。当运用基准地价法进行宗地评估时，若宗地未达到或超过基准地价设定开发程度时，应酌情扣除或增加相应开发费用。</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p>
    <w:p>
      <w:pPr>
        <w:keepNext/>
        <w:adjustRightInd w:val="0"/>
        <w:snapToGrid w:val="0"/>
        <w:jc w:val="center"/>
        <w:rPr>
          <w:rFonts w:eastAsia="仿宋_GB2312"/>
          <w:b/>
          <w:color w:val="auto"/>
          <w:sz w:val="24"/>
        </w:rPr>
      </w:pPr>
      <w:r>
        <w:rPr>
          <w:rFonts w:eastAsia="仿宋_GB2312"/>
          <w:b/>
          <w:bCs/>
          <w:color w:val="auto"/>
          <w:sz w:val="24"/>
        </w:rPr>
        <w:t>表</w:t>
      </w:r>
      <w:r>
        <w:rPr>
          <w:rFonts w:hint="eastAsia" w:eastAsia="仿宋_GB2312"/>
          <w:b/>
          <w:bCs/>
          <w:color w:val="auto"/>
          <w:sz w:val="24"/>
        </w:rPr>
        <w:t>4-5-12</w:t>
      </w:r>
      <w:r>
        <w:rPr>
          <w:rFonts w:eastAsia="仿宋_GB2312"/>
          <w:b/>
          <w:color w:val="auto"/>
          <w:sz w:val="24"/>
        </w:rPr>
        <w:t xml:space="preserve"> </w:t>
      </w:r>
      <w:r>
        <w:rPr>
          <w:rFonts w:hint="eastAsia" w:eastAsia="仿宋_GB2312"/>
          <w:b/>
          <w:color w:val="auto"/>
          <w:sz w:val="24"/>
        </w:rPr>
        <w:t xml:space="preserve"> </w:t>
      </w:r>
      <w:r>
        <w:rPr>
          <w:rFonts w:eastAsia="仿宋_GB2312"/>
          <w:b/>
          <w:color w:val="auto"/>
          <w:sz w:val="24"/>
        </w:rPr>
        <w:t>土地开发程度修正值表</w:t>
      </w:r>
    </w:p>
    <w:p>
      <w:pPr>
        <w:adjustRightInd w:val="0"/>
        <w:snapToGrid w:val="0"/>
        <w:jc w:val="right"/>
        <w:rPr>
          <w:rFonts w:eastAsia="仿宋_GB2312"/>
          <w:color w:val="auto"/>
        </w:rPr>
      </w:pPr>
      <w:r>
        <w:rPr>
          <w:rFonts w:eastAsia="仿宋_GB2312"/>
          <w:color w:val="auto"/>
        </w:rPr>
        <w:t>单位：元/平方米</w:t>
      </w:r>
    </w:p>
    <w:tbl>
      <w:tblPr>
        <w:tblStyle w:val="88"/>
        <w:tblW w:w="50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2"/>
        <w:gridCol w:w="1801"/>
        <w:gridCol w:w="1815"/>
        <w:gridCol w:w="1904"/>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4"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通路</w:t>
            </w:r>
          </w:p>
        </w:tc>
        <w:tc>
          <w:tcPr>
            <w:tcW w:w="982"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通电</w:t>
            </w:r>
          </w:p>
        </w:tc>
        <w:tc>
          <w:tcPr>
            <w:tcW w:w="1030"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通上水</w:t>
            </w:r>
          </w:p>
        </w:tc>
        <w:tc>
          <w:tcPr>
            <w:tcW w:w="982"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4"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30~70</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30~50</w:t>
            </w:r>
          </w:p>
        </w:tc>
        <w:tc>
          <w:tcPr>
            <w:tcW w:w="1030"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20~30</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4"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通讯</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通燃气</w:t>
            </w:r>
          </w:p>
        </w:tc>
        <w:tc>
          <w:tcPr>
            <w:tcW w:w="1030"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场地平整</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4"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10~20</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c>
          <w:tcPr>
            <w:tcW w:w="1030"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w:t>
            </w:r>
            <w:r>
              <w:rPr>
                <w:rFonts w:hint="eastAsia" w:eastAsia="仿宋_GB2312"/>
                <w:color w:val="auto"/>
                <w:kern w:val="0"/>
                <w:sz w:val="24"/>
              </w:rPr>
              <w:t>100</w:t>
            </w:r>
          </w:p>
        </w:tc>
        <w:tc>
          <w:tcPr>
            <w:tcW w:w="982"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140~</w:t>
            </w:r>
            <w:r>
              <w:rPr>
                <w:rFonts w:hint="eastAsia" w:eastAsia="仿宋_GB2312"/>
                <w:color w:val="auto"/>
                <w:kern w:val="0"/>
                <w:sz w:val="24"/>
              </w:rPr>
              <w:t>330</w:t>
            </w:r>
          </w:p>
        </w:tc>
      </w:tr>
    </w:tbl>
    <w:p>
      <w:pPr>
        <w:adjustRightInd w:val="0"/>
        <w:snapToGrid w:val="0"/>
        <w:spacing w:before="78" w:beforeLines="25" w:line="300" w:lineRule="auto"/>
        <w:ind w:firstLine="420" w:firstLineChars="200"/>
        <w:rPr>
          <w:rFonts w:hint="eastAsia" w:eastAsia="仿宋_GB2312"/>
          <w:color w:val="auto"/>
          <w:szCs w:val="21"/>
          <w:lang w:eastAsia="zh-CN"/>
        </w:rPr>
      </w:pPr>
      <w:r>
        <w:rPr>
          <w:rFonts w:eastAsia="仿宋_GB2312"/>
          <w:color w:val="auto"/>
          <w:szCs w:val="21"/>
        </w:rPr>
        <w:t>注：①通路、通电、</w:t>
      </w:r>
      <w:r>
        <w:rPr>
          <w:rFonts w:hint="eastAsia" w:eastAsia="仿宋_GB2312"/>
          <w:color w:val="auto"/>
          <w:szCs w:val="21"/>
        </w:rPr>
        <w:t>通上水</w:t>
      </w:r>
      <w:r>
        <w:rPr>
          <w:rFonts w:eastAsia="仿宋_GB2312"/>
          <w:color w:val="auto"/>
          <w:szCs w:val="21"/>
        </w:rPr>
        <w:t>、</w:t>
      </w:r>
      <w:r>
        <w:rPr>
          <w:rFonts w:hint="eastAsia" w:eastAsia="仿宋_GB2312"/>
          <w:color w:val="auto"/>
          <w:szCs w:val="21"/>
        </w:rPr>
        <w:t>通下水</w:t>
      </w:r>
      <w:r>
        <w:rPr>
          <w:rFonts w:eastAsia="仿宋_GB2312"/>
          <w:color w:val="auto"/>
          <w:szCs w:val="21"/>
        </w:rPr>
        <w:t>、通讯等分项开发费用，应按主干线、次干线、分支线路等不同酌情选用上限值、中间值或下限值</w:t>
      </w:r>
      <w:r>
        <w:rPr>
          <w:rFonts w:hint="eastAsia" w:eastAsia="仿宋_GB2312"/>
          <w:color w:val="auto"/>
          <w:szCs w:val="21"/>
          <w:lang w:eastAsia="zh-CN"/>
        </w:rPr>
        <w:t>。</w:t>
      </w:r>
    </w:p>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②本表数据为每平方米土地的土地开发程度修正值，运用平均楼面地价时，应换算到每平方米建筑面积下的修正值。</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楷体_GB2312" w:hAnsi="楷体_GB2312" w:eastAsia="楷体_GB2312" w:cs="楷体_GB2312"/>
          <w:b w:val="0"/>
          <w:bCs/>
          <w:color w:val="auto"/>
          <w:sz w:val="32"/>
          <w:szCs w:val="32"/>
        </w:rPr>
      </w:pPr>
      <w:bookmarkStart w:id="57" w:name="_Toc214265662"/>
      <w:r>
        <w:rPr>
          <w:rFonts w:hint="eastAsia" w:ascii="楷体_GB2312" w:hAnsi="楷体_GB2312" w:eastAsia="楷体_GB2312" w:cs="楷体_GB2312"/>
          <w:b w:val="0"/>
          <w:bCs/>
          <w:color w:val="auto"/>
          <w:sz w:val="32"/>
          <w:szCs w:val="32"/>
        </w:rPr>
        <w:t>（六）公用设施用地基准地价修正体系</w:t>
      </w:r>
      <w:bookmarkEnd w:id="57"/>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新兴县公用设施用地修正体系包括：区域因素修正、剩余使用年期修正、期日修正、个别因素修正、土地开发程度修正和二级用地类型修正等。</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计算公式</w:t>
      </w:r>
    </w:p>
    <w:p>
      <w:pPr>
        <w:widowControl/>
        <w:adjustRightInd w:val="0"/>
        <w:snapToGrid w:val="0"/>
        <w:jc w:val="center"/>
        <w:textAlignment w:val="baseline"/>
        <w:rPr>
          <w:rFonts w:eastAsia="仿宋_GB2312"/>
          <w:i/>
          <w:color w:val="auto"/>
          <w:kern w:val="28"/>
          <w:sz w:val="28"/>
          <w:szCs w:val="28"/>
        </w:rPr>
      </w:pPr>
      <w:r>
        <w:rPr>
          <w:rFonts w:eastAsia="仿宋_GB2312"/>
          <w:i/>
          <w:color w:val="auto"/>
          <w:kern w:val="28"/>
          <w:sz w:val="28"/>
          <w:szCs w:val="28"/>
        </w:rPr>
        <w:t>P</w:t>
      </w:r>
      <w:r>
        <w:rPr>
          <w:rFonts w:eastAsia="仿宋_GB2312"/>
          <w:i/>
          <w:color w:val="auto"/>
          <w:kern w:val="28"/>
          <w:sz w:val="28"/>
          <w:szCs w:val="28"/>
          <w:vertAlign w:val="subscript"/>
        </w:rPr>
        <w:t>宗</w:t>
      </w:r>
      <w:r>
        <w:rPr>
          <w:rFonts w:eastAsia="仿宋_GB2312"/>
          <w:i/>
          <w:color w:val="auto"/>
          <w:kern w:val="28"/>
          <w:sz w:val="28"/>
          <w:szCs w:val="28"/>
        </w:rPr>
        <w:t>＝P</w:t>
      </w:r>
      <w:r>
        <w:rPr>
          <w:rFonts w:eastAsia="仿宋_GB2312"/>
          <w:i/>
          <w:color w:val="auto"/>
          <w:kern w:val="28"/>
          <w:sz w:val="28"/>
          <w:szCs w:val="28"/>
          <w:vertAlign w:val="subscript"/>
        </w:rPr>
        <w:t>地</w:t>
      </w:r>
      <w:r>
        <w:rPr>
          <w:rFonts w:eastAsia="仿宋_GB2312"/>
          <w:i/>
          <w:color w:val="auto"/>
          <w:kern w:val="28"/>
          <w:sz w:val="28"/>
          <w:szCs w:val="28"/>
        </w:rPr>
        <w:t>×K</w:t>
      </w:r>
      <w:r>
        <w:rPr>
          <w:rFonts w:eastAsia="仿宋_GB2312"/>
          <w:i/>
          <w:color w:val="auto"/>
          <w:kern w:val="28"/>
          <w:sz w:val="28"/>
          <w:szCs w:val="28"/>
          <w:vertAlign w:val="subscript"/>
        </w:rPr>
        <w:t>t</w:t>
      </w:r>
      <w:r>
        <w:rPr>
          <w:rFonts w:eastAsia="仿宋_GB2312"/>
          <w:i/>
          <w:color w:val="auto"/>
          <w:kern w:val="28"/>
          <w:sz w:val="28"/>
          <w:szCs w:val="28"/>
        </w:rPr>
        <w:t>×（1+∑K</w:t>
      </w:r>
      <w:r>
        <w:rPr>
          <w:rFonts w:eastAsia="仿宋_GB2312"/>
          <w:i/>
          <w:color w:val="auto"/>
          <w:kern w:val="28"/>
          <w:sz w:val="28"/>
          <w:szCs w:val="28"/>
          <w:vertAlign w:val="subscript"/>
        </w:rPr>
        <w:t>i</w:t>
      </w:r>
      <w:r>
        <w:rPr>
          <w:rFonts w:eastAsia="仿宋_GB2312"/>
          <w:i/>
          <w:color w:val="auto"/>
          <w:kern w:val="28"/>
          <w:sz w:val="28"/>
          <w:szCs w:val="28"/>
        </w:rPr>
        <w:t>）×K</w:t>
      </w:r>
      <w:r>
        <w:rPr>
          <w:rFonts w:eastAsia="仿宋_GB2312"/>
          <w:i/>
          <w:color w:val="auto"/>
          <w:kern w:val="28"/>
          <w:sz w:val="28"/>
          <w:szCs w:val="28"/>
          <w:vertAlign w:val="subscript"/>
        </w:rPr>
        <w:t>y</w:t>
      </w:r>
      <w:r>
        <w:rPr>
          <w:rFonts w:eastAsia="仿宋_GB2312"/>
          <w:i/>
          <w:color w:val="auto"/>
          <w:kern w:val="28"/>
          <w:sz w:val="28"/>
          <w:szCs w:val="28"/>
        </w:rPr>
        <w:t>×K</w:t>
      </w:r>
      <w:r>
        <w:rPr>
          <w:rFonts w:eastAsia="仿宋_GB2312"/>
          <w:i/>
          <w:color w:val="auto"/>
          <w:kern w:val="28"/>
          <w:sz w:val="28"/>
          <w:szCs w:val="28"/>
          <w:vertAlign w:val="subscript"/>
        </w:rPr>
        <w:t>q</w:t>
      </w:r>
      <w:r>
        <w:rPr>
          <w:rFonts w:eastAsia="仿宋_GB2312"/>
          <w:i/>
          <w:color w:val="auto"/>
          <w:kern w:val="28"/>
          <w:sz w:val="28"/>
          <w:szCs w:val="28"/>
        </w:rPr>
        <w:t>×K</w:t>
      </w:r>
      <w:r>
        <w:rPr>
          <w:rFonts w:eastAsia="仿宋_GB2312"/>
          <w:i/>
          <w:color w:val="auto"/>
          <w:kern w:val="28"/>
          <w:sz w:val="28"/>
          <w:szCs w:val="28"/>
          <w:vertAlign w:val="subscript"/>
        </w:rPr>
        <w:t>g</w:t>
      </w:r>
      <w:r>
        <w:rPr>
          <w:rFonts w:eastAsia="仿宋_GB2312"/>
          <w:i/>
          <w:color w:val="auto"/>
          <w:kern w:val="28"/>
          <w:sz w:val="28"/>
          <w:szCs w:val="28"/>
        </w:rPr>
        <w:t>± D</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式中：</w:t>
      </w:r>
    </w:p>
    <w:tbl>
      <w:tblPr>
        <w:tblStyle w:val="88"/>
        <w:tblW w:w="7439" w:type="dxa"/>
        <w:tblInd w:w="1008" w:type="dxa"/>
        <w:tblLayout w:type="autofit"/>
        <w:tblCellMar>
          <w:top w:w="0" w:type="dxa"/>
          <w:left w:w="108" w:type="dxa"/>
          <w:bottom w:w="0" w:type="dxa"/>
          <w:right w:w="108" w:type="dxa"/>
        </w:tblCellMar>
      </w:tblPr>
      <w:tblGrid>
        <w:gridCol w:w="820"/>
        <w:gridCol w:w="711"/>
        <w:gridCol w:w="5908"/>
      </w:tblGrid>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宗</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待估宗地地价</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P</w:t>
            </w:r>
            <w:r>
              <w:rPr>
                <w:rFonts w:eastAsia="仿宋_GB2312"/>
                <w:i/>
                <w:color w:val="auto"/>
                <w:sz w:val="24"/>
                <w:vertAlign w:val="subscript"/>
              </w:rPr>
              <w:t>地</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待估宗地所在区域的级别基准地价（地面地价）</w:t>
            </w:r>
          </w:p>
        </w:tc>
      </w:tr>
      <w:tr>
        <w:tblPrEx>
          <w:tblCellMar>
            <w:top w:w="0" w:type="dxa"/>
            <w:left w:w="108" w:type="dxa"/>
            <w:bottom w:w="0" w:type="dxa"/>
            <w:right w:w="108" w:type="dxa"/>
          </w:tblCellMar>
        </w:tblPrEx>
        <w:trPr>
          <w:trHeight w:val="484" w:hRule="atLeast"/>
        </w:trPr>
        <w:tc>
          <w:tcPr>
            <w:tcW w:w="820"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8"/>
                <w:szCs w:val="28"/>
              </w:rPr>
              <w:t>K</w:t>
            </w:r>
            <w:r>
              <w:rPr>
                <w:rFonts w:eastAsia="仿宋_GB2312"/>
                <w:i/>
                <w:color w:val="auto"/>
                <w:sz w:val="28"/>
                <w:szCs w:val="28"/>
                <w:vertAlign w:val="subscript"/>
              </w:rPr>
              <w:t>t</w:t>
            </w:r>
          </w:p>
        </w:tc>
        <w:tc>
          <w:tcPr>
            <w:tcW w:w="711" w:type="dxa"/>
            <w:vAlign w:val="center"/>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vAlign w:val="center"/>
          </w:tcPr>
          <w:p>
            <w:pPr>
              <w:widowControl/>
              <w:adjustRightInd w:val="0"/>
              <w:snapToGrid w:val="0"/>
              <w:spacing w:line="240" w:lineRule="auto"/>
              <w:jc w:val="left"/>
              <w:rPr>
                <w:rFonts w:eastAsia="仿宋_GB2312"/>
                <w:color w:val="auto"/>
                <w:sz w:val="24"/>
              </w:rPr>
            </w:pPr>
            <w:r>
              <w:rPr>
                <w:rFonts w:eastAsia="仿宋_GB2312"/>
                <w:color w:val="auto"/>
                <w:sz w:val="24"/>
              </w:rPr>
              <w:t>二级用地类型修正系数</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i</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第</w:t>
            </w:r>
            <w:r>
              <w:rPr>
                <w:rFonts w:eastAsia="仿宋_GB2312"/>
                <w:i/>
                <w:iCs/>
                <w:color w:val="auto"/>
                <w:sz w:val="24"/>
              </w:rPr>
              <w:t>i</w:t>
            </w:r>
            <w:r>
              <w:rPr>
                <w:rFonts w:eastAsia="仿宋_GB2312"/>
                <w:color w:val="auto"/>
                <w:sz w:val="24"/>
              </w:rPr>
              <w:t>个区域因素修正系数</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剩余使用年期修正系数</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q</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期日修正系数</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K</w:t>
            </w:r>
            <w:r>
              <w:rPr>
                <w:rFonts w:eastAsia="仿宋_GB2312"/>
                <w:i/>
                <w:color w:val="auto"/>
                <w:sz w:val="24"/>
                <w:vertAlign w:val="subscript"/>
              </w:rPr>
              <w:t>g</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个别因素修正系数</w:t>
            </w:r>
          </w:p>
        </w:tc>
      </w:tr>
      <w:tr>
        <w:tblPrEx>
          <w:tblCellMar>
            <w:top w:w="0" w:type="dxa"/>
            <w:left w:w="108" w:type="dxa"/>
            <w:bottom w:w="0" w:type="dxa"/>
            <w:right w:w="108" w:type="dxa"/>
          </w:tblCellMar>
        </w:tblPrEx>
        <w:trPr>
          <w:trHeight w:val="469" w:hRule="atLeast"/>
        </w:trPr>
        <w:tc>
          <w:tcPr>
            <w:tcW w:w="820" w:type="dxa"/>
          </w:tcPr>
          <w:p>
            <w:pPr>
              <w:widowControl/>
              <w:adjustRightInd w:val="0"/>
              <w:snapToGrid w:val="0"/>
              <w:spacing w:line="240" w:lineRule="auto"/>
              <w:jc w:val="left"/>
              <w:rPr>
                <w:rFonts w:eastAsia="仿宋_GB2312"/>
                <w:i/>
                <w:color w:val="auto"/>
                <w:sz w:val="24"/>
              </w:rPr>
            </w:pPr>
            <w:r>
              <w:rPr>
                <w:rFonts w:eastAsia="仿宋_GB2312"/>
                <w:i/>
                <w:color w:val="auto"/>
                <w:sz w:val="24"/>
              </w:rPr>
              <w:t>D</w:t>
            </w:r>
          </w:p>
        </w:tc>
        <w:tc>
          <w:tcPr>
            <w:tcW w:w="711" w:type="dxa"/>
          </w:tcPr>
          <w:p>
            <w:pPr>
              <w:widowControl/>
              <w:adjustRightInd w:val="0"/>
              <w:snapToGrid w:val="0"/>
              <w:spacing w:line="240" w:lineRule="auto"/>
              <w:jc w:val="left"/>
              <w:rPr>
                <w:rFonts w:eastAsia="仿宋_GB2312"/>
                <w:i/>
                <w:color w:val="auto"/>
                <w:sz w:val="24"/>
              </w:rPr>
            </w:pPr>
            <w:r>
              <w:rPr>
                <w:rFonts w:eastAsia="仿宋_GB2312"/>
                <w:i/>
                <w:color w:val="auto"/>
                <w:sz w:val="24"/>
              </w:rPr>
              <w:t>——</w:t>
            </w:r>
          </w:p>
        </w:tc>
        <w:tc>
          <w:tcPr>
            <w:tcW w:w="5908" w:type="dxa"/>
          </w:tcPr>
          <w:p>
            <w:pPr>
              <w:widowControl/>
              <w:adjustRightInd w:val="0"/>
              <w:snapToGrid w:val="0"/>
              <w:spacing w:line="240" w:lineRule="auto"/>
              <w:jc w:val="left"/>
              <w:rPr>
                <w:rFonts w:eastAsia="仿宋_GB2312"/>
                <w:color w:val="auto"/>
                <w:sz w:val="24"/>
              </w:rPr>
            </w:pPr>
            <w:r>
              <w:rPr>
                <w:rFonts w:eastAsia="仿宋_GB2312"/>
                <w:color w:val="auto"/>
                <w:sz w:val="24"/>
              </w:rPr>
              <w:t>土地开发程度修正值</w:t>
            </w:r>
          </w:p>
        </w:tc>
      </w:tr>
    </w:tbl>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修正体系</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（1）区域因素修正</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公用设施用地区域因素修正包括交通条件、基本设施状况、环境条件、城镇规划、人口状况。其修正系数如下：</w:t>
      </w: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 xml:space="preserve">4-6-1  </w:t>
      </w:r>
      <w:r>
        <w:rPr>
          <w:rFonts w:eastAsia="仿宋_GB2312"/>
          <w:b/>
          <w:bCs/>
          <w:color w:val="auto"/>
          <w:sz w:val="24"/>
        </w:rPr>
        <w:t>一级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8955" w:type="dxa"/>
        <w:jc w:val="center"/>
        <w:tblLayout w:type="autofit"/>
        <w:tblCellMar>
          <w:top w:w="0" w:type="dxa"/>
          <w:left w:w="108" w:type="dxa"/>
          <w:bottom w:w="0" w:type="dxa"/>
          <w:right w:w="108" w:type="dxa"/>
        </w:tblCellMar>
      </w:tblPr>
      <w:tblGrid>
        <w:gridCol w:w="1280"/>
        <w:gridCol w:w="1535"/>
        <w:gridCol w:w="1535"/>
        <w:gridCol w:w="1535"/>
        <w:gridCol w:w="1535"/>
        <w:gridCol w:w="1535"/>
      </w:tblGrid>
      <w:tr>
        <w:tblPrEx>
          <w:tblCellMar>
            <w:top w:w="0" w:type="dxa"/>
            <w:left w:w="108" w:type="dxa"/>
            <w:bottom w:w="0" w:type="dxa"/>
            <w:right w:w="108" w:type="dxa"/>
          </w:tblCellMar>
        </w:tblPrEx>
        <w:trPr>
          <w:trHeight w:val="551" w:hRule="atLeast"/>
          <w:tblHeader/>
          <w:jc w:val="center"/>
        </w:trPr>
        <w:tc>
          <w:tcPr>
            <w:tcW w:w="1280"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142" w:hRule="atLeast"/>
          <w:jc w:val="center"/>
        </w:trPr>
        <w:tc>
          <w:tcPr>
            <w:tcW w:w="1280" w:type="dxa"/>
            <w:tcBorders>
              <w:top w:val="nil"/>
              <w:left w:val="single" w:color="auto" w:sz="4" w:space="0"/>
              <w:bottom w:val="single" w:color="auto" w:sz="4" w:space="0"/>
              <w:right w:val="single" w:color="auto" w:sz="4" w:space="0"/>
            </w:tcBorders>
            <w:vAlign w:val="center"/>
          </w:tcPr>
          <w:p>
            <w:pPr>
              <w:keepNext/>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2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0.0468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0.0234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-0.0199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-0.0398 </w:t>
            </w:r>
          </w:p>
        </w:tc>
      </w:tr>
      <w:tr>
        <w:tblPrEx>
          <w:tblCellMar>
            <w:top w:w="0" w:type="dxa"/>
            <w:left w:w="108" w:type="dxa"/>
            <w:bottom w:w="0" w:type="dxa"/>
            <w:right w:w="108" w:type="dxa"/>
          </w:tblCellMar>
        </w:tblPrEx>
        <w:trPr>
          <w:trHeight w:val="195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3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2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0.0398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0.0199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-0.0169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-0.0338 </w:t>
            </w:r>
          </w:p>
        </w:tc>
      </w:tr>
      <w:tr>
        <w:tblPrEx>
          <w:tblCellMar>
            <w:top w:w="0" w:type="dxa"/>
            <w:left w:w="108" w:type="dxa"/>
            <w:bottom w:w="0" w:type="dxa"/>
            <w:right w:w="108" w:type="dxa"/>
          </w:tblCellMar>
        </w:tblPrEx>
        <w:trPr>
          <w:trHeight w:val="141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2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0.0244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0.0122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-0.0104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-0.0208 </w:t>
            </w:r>
          </w:p>
        </w:tc>
      </w:tr>
      <w:tr>
        <w:tblPrEx>
          <w:tblCellMar>
            <w:top w:w="0" w:type="dxa"/>
            <w:left w:w="108" w:type="dxa"/>
            <w:bottom w:w="0" w:type="dxa"/>
            <w:right w:w="108" w:type="dxa"/>
          </w:tblCellMar>
        </w:tblPrEx>
        <w:trPr>
          <w:trHeight w:val="141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32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0.0186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0.0093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-0.0079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r>
      <w:tr>
        <w:tblPrEx>
          <w:tblCellMar>
            <w:top w:w="0" w:type="dxa"/>
            <w:left w:w="108" w:type="dxa"/>
            <w:bottom w:w="0" w:type="dxa"/>
            <w:right w:w="108" w:type="dxa"/>
          </w:tblCellMar>
        </w:tblPrEx>
        <w:trPr>
          <w:trHeight w:val="327"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383"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0.0158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0.0079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-0.0067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-0.0134 </w:t>
            </w:r>
          </w:p>
        </w:tc>
      </w:tr>
    </w:tbl>
    <w:p>
      <w:pPr>
        <w:rPr>
          <w:rFonts w:eastAsia="仿宋_GB2312"/>
          <w:b/>
          <w:bCs/>
          <w:color w:val="auto"/>
          <w:sz w:val="24"/>
        </w:rPr>
      </w:pPr>
      <w:r>
        <w:rPr>
          <w:rFonts w:eastAsia="仿宋_GB2312"/>
          <w:b/>
          <w:bCs/>
          <w:color w:val="auto"/>
          <w:sz w:val="24"/>
        </w:rPr>
        <w:br w:type="page"/>
      </w:r>
    </w:p>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4-6-2  二</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9099" w:type="dxa"/>
        <w:jc w:val="center"/>
        <w:tblLayout w:type="autofit"/>
        <w:tblCellMar>
          <w:top w:w="0" w:type="dxa"/>
          <w:left w:w="108" w:type="dxa"/>
          <w:bottom w:w="0" w:type="dxa"/>
          <w:right w:w="108" w:type="dxa"/>
        </w:tblCellMar>
      </w:tblPr>
      <w:tblGrid>
        <w:gridCol w:w="1299"/>
        <w:gridCol w:w="1560"/>
        <w:gridCol w:w="1560"/>
        <w:gridCol w:w="1560"/>
        <w:gridCol w:w="1560"/>
        <w:gridCol w:w="1560"/>
      </w:tblGrid>
      <w:tr>
        <w:tblPrEx>
          <w:tblCellMar>
            <w:top w:w="0" w:type="dxa"/>
            <w:left w:w="108" w:type="dxa"/>
            <w:bottom w:w="0" w:type="dxa"/>
            <w:right w:w="108" w:type="dxa"/>
          </w:tblCellMar>
        </w:tblPrEx>
        <w:trPr>
          <w:trHeight w:val="729" w:hRule="atLeast"/>
          <w:tblHeader/>
          <w:jc w:val="center"/>
        </w:trPr>
        <w:tc>
          <w:tcPr>
            <w:tcW w:w="1299"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60"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60"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60"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60"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60"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556"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413"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0.0414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0.0207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-0.0163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-0.0326 </w:t>
            </w:r>
          </w:p>
        </w:tc>
      </w:tr>
      <w:tr>
        <w:tblPrEx>
          <w:tblCellMar>
            <w:top w:w="0" w:type="dxa"/>
            <w:left w:w="108" w:type="dxa"/>
            <w:bottom w:w="0" w:type="dxa"/>
            <w:right w:w="108" w:type="dxa"/>
          </w:tblCellMar>
        </w:tblPrEx>
        <w:trPr>
          <w:cantSplit/>
          <w:trHeight w:val="2448" w:hRule="atLeast"/>
          <w:jc w:val="center"/>
        </w:trPr>
        <w:tc>
          <w:tcPr>
            <w:tcW w:w="1299"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60"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60"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60"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60"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60"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413"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0.0352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-0.0139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-0.0278 </w:t>
            </w:r>
          </w:p>
        </w:tc>
      </w:tr>
      <w:tr>
        <w:tblPrEx>
          <w:tblCellMar>
            <w:top w:w="0" w:type="dxa"/>
            <w:left w:w="108" w:type="dxa"/>
            <w:bottom w:w="0" w:type="dxa"/>
            <w:right w:w="108" w:type="dxa"/>
          </w:tblCellMar>
        </w:tblPrEx>
        <w:trPr>
          <w:trHeight w:val="1938"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13"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0.0216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-0.0085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-0.0170 </w:t>
            </w:r>
          </w:p>
        </w:tc>
      </w:tr>
      <w:tr>
        <w:tblPrEx>
          <w:tblCellMar>
            <w:top w:w="0" w:type="dxa"/>
            <w:left w:w="108" w:type="dxa"/>
            <w:bottom w:w="0" w:type="dxa"/>
            <w:right w:w="108" w:type="dxa"/>
          </w:tblCellMar>
        </w:tblPrEx>
        <w:trPr>
          <w:trHeight w:val="1938"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413"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-0.0065 </w:t>
            </w:r>
          </w:p>
        </w:tc>
        <w:tc>
          <w:tcPr>
            <w:tcW w:w="1560" w:type="dxa"/>
            <w:tcBorders>
              <w:top w:val="nil"/>
              <w:left w:val="nil"/>
              <w:bottom w:val="single" w:color="auto" w:sz="4" w:space="0"/>
              <w:right w:val="single" w:color="auto" w:sz="4" w:space="0"/>
            </w:tcBorders>
            <w:vAlign w:val="center"/>
          </w:tcPr>
          <w:p>
            <w:pPr>
              <w:keepNext/>
              <w:keepLines/>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-0.0130 </w:t>
            </w:r>
          </w:p>
        </w:tc>
      </w:tr>
      <w:tr>
        <w:tblPrEx>
          <w:tblCellMar>
            <w:top w:w="0" w:type="dxa"/>
            <w:left w:w="108" w:type="dxa"/>
            <w:bottom w:w="0" w:type="dxa"/>
            <w:right w:w="108" w:type="dxa"/>
          </w:tblCellMar>
        </w:tblPrEx>
        <w:trPr>
          <w:trHeight w:val="413"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46" w:hRule="atLeast"/>
          <w:jc w:val="center"/>
        </w:trPr>
        <w:tc>
          <w:tcPr>
            <w:tcW w:w="1299"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-0.0055 </w:t>
            </w:r>
          </w:p>
        </w:tc>
        <w:tc>
          <w:tcPr>
            <w:tcW w:w="1560"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-0.0110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4-6-3  三</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8955" w:type="dxa"/>
        <w:jc w:val="center"/>
        <w:tblLayout w:type="autofit"/>
        <w:tblCellMar>
          <w:top w:w="0" w:type="dxa"/>
          <w:left w:w="108" w:type="dxa"/>
          <w:bottom w:w="0" w:type="dxa"/>
          <w:right w:w="108" w:type="dxa"/>
        </w:tblCellMar>
      </w:tblPr>
      <w:tblGrid>
        <w:gridCol w:w="1280"/>
        <w:gridCol w:w="1535"/>
        <w:gridCol w:w="1535"/>
        <w:gridCol w:w="1535"/>
        <w:gridCol w:w="1535"/>
        <w:gridCol w:w="1535"/>
      </w:tblGrid>
      <w:tr>
        <w:tblPrEx>
          <w:tblCellMar>
            <w:top w:w="0" w:type="dxa"/>
            <w:left w:w="108" w:type="dxa"/>
            <w:bottom w:w="0" w:type="dxa"/>
            <w:right w:w="108" w:type="dxa"/>
          </w:tblCellMar>
        </w:tblPrEx>
        <w:trPr>
          <w:trHeight w:val="704" w:hRule="atLeast"/>
          <w:tblHeader/>
          <w:jc w:val="center"/>
        </w:trPr>
        <w:tc>
          <w:tcPr>
            <w:tcW w:w="1280"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3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3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478" w:hRule="atLeast"/>
          <w:jc w:val="center"/>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410" w:hRule="atLeast"/>
          <w:jc w:val="center"/>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0.0344 </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0.0172 </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-0.0156 </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-0.0312 </w:t>
            </w:r>
          </w:p>
        </w:tc>
      </w:tr>
      <w:tr>
        <w:tblPrEx>
          <w:tblCellMar>
            <w:top w:w="0" w:type="dxa"/>
            <w:left w:w="108" w:type="dxa"/>
            <w:bottom w:w="0" w:type="dxa"/>
            <w:right w:w="108" w:type="dxa"/>
          </w:tblCellMar>
        </w:tblPrEx>
        <w:trPr>
          <w:trHeight w:val="2532"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410"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0.0292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0.0146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-0.0266 </w:t>
            </w:r>
          </w:p>
        </w:tc>
      </w:tr>
      <w:tr>
        <w:tblPrEx>
          <w:tblCellMar>
            <w:top w:w="0" w:type="dxa"/>
            <w:left w:w="108" w:type="dxa"/>
            <w:bottom w:w="0" w:type="dxa"/>
            <w:right w:w="108" w:type="dxa"/>
          </w:tblCellMar>
        </w:tblPrEx>
        <w:trPr>
          <w:trHeight w:val="1834" w:hRule="atLeast"/>
          <w:jc w:val="center"/>
        </w:trPr>
        <w:tc>
          <w:tcPr>
            <w:tcW w:w="1280" w:type="dxa"/>
            <w:tcBorders>
              <w:top w:val="nil"/>
              <w:left w:val="single" w:color="auto" w:sz="4" w:space="0"/>
              <w:bottom w:val="single" w:color="auto" w:sz="4" w:space="0"/>
              <w:right w:val="single" w:color="auto" w:sz="4" w:space="0"/>
            </w:tcBorders>
            <w:vAlign w:val="center"/>
          </w:tcPr>
          <w:p>
            <w:pPr>
              <w:keepNext/>
              <w:keepLines/>
              <w:widowControl/>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35"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35"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35"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35"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35" w:type="dxa"/>
            <w:tcBorders>
              <w:top w:val="nil"/>
              <w:left w:val="nil"/>
              <w:bottom w:val="single" w:color="auto" w:sz="4" w:space="0"/>
              <w:right w:val="single" w:color="auto" w:sz="4" w:space="0"/>
            </w:tcBorders>
            <w:vAlign w:val="center"/>
          </w:tcPr>
          <w:p>
            <w:pPr>
              <w:keepNext/>
              <w:keepLines/>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10"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0.0180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-0.0164 </w:t>
            </w:r>
          </w:p>
        </w:tc>
      </w:tr>
      <w:tr>
        <w:tblPrEx>
          <w:tblCellMar>
            <w:top w:w="0" w:type="dxa"/>
            <w:left w:w="108" w:type="dxa"/>
            <w:bottom w:w="0" w:type="dxa"/>
            <w:right w:w="108" w:type="dxa"/>
          </w:tblCellMar>
        </w:tblPrEx>
        <w:trPr>
          <w:trHeight w:val="183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410"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0.0068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-0.0062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-0.0124 </w:t>
            </w:r>
          </w:p>
        </w:tc>
      </w:tr>
      <w:tr>
        <w:tblPrEx>
          <w:tblCellMar>
            <w:top w:w="0" w:type="dxa"/>
            <w:left w:w="108" w:type="dxa"/>
            <w:bottom w:w="0" w:type="dxa"/>
            <w:right w:w="108" w:type="dxa"/>
          </w:tblCellMar>
        </w:tblPrEx>
        <w:trPr>
          <w:trHeight w:val="410" w:hRule="atLeast"/>
          <w:jc w:val="center"/>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35"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64" w:hRule="atLeast"/>
          <w:jc w:val="center"/>
        </w:trPr>
        <w:tc>
          <w:tcPr>
            <w:tcW w:w="1280"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0.0058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-0.0053 </w:t>
            </w:r>
          </w:p>
        </w:tc>
        <w:tc>
          <w:tcPr>
            <w:tcW w:w="153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-0.0106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4-6-4  四</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8877" w:type="dxa"/>
        <w:jc w:val="center"/>
        <w:tblLayout w:type="autofit"/>
        <w:tblCellMar>
          <w:top w:w="0" w:type="dxa"/>
          <w:left w:w="108" w:type="dxa"/>
          <w:bottom w:w="0" w:type="dxa"/>
          <w:right w:w="108" w:type="dxa"/>
        </w:tblCellMar>
      </w:tblPr>
      <w:tblGrid>
        <w:gridCol w:w="1267"/>
        <w:gridCol w:w="1522"/>
        <w:gridCol w:w="1522"/>
        <w:gridCol w:w="1522"/>
        <w:gridCol w:w="1522"/>
        <w:gridCol w:w="1522"/>
      </w:tblGrid>
      <w:tr>
        <w:tblPrEx>
          <w:tblCellMar>
            <w:top w:w="0" w:type="dxa"/>
            <w:left w:w="108" w:type="dxa"/>
            <w:bottom w:w="0" w:type="dxa"/>
            <w:right w:w="108" w:type="dxa"/>
          </w:tblCellMar>
        </w:tblPrEx>
        <w:trPr>
          <w:trHeight w:val="725" w:hRule="atLeast"/>
          <w:tblHeader/>
          <w:jc w:val="center"/>
        </w:trPr>
        <w:tc>
          <w:tcPr>
            <w:tcW w:w="1267"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22"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78" w:hRule="atLeast"/>
          <w:jc w:val="center"/>
        </w:trPr>
        <w:tc>
          <w:tcPr>
            <w:tcW w:w="126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2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22"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22"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22"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22" w:type="dxa"/>
            <w:tcBorders>
              <w:top w:val="single" w:color="auto" w:sz="4" w:space="0"/>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420" w:hRule="atLeast"/>
          <w:jc w:val="center"/>
        </w:trPr>
        <w:tc>
          <w:tcPr>
            <w:tcW w:w="126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0.0310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0.0155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-0.0272 </w:t>
            </w:r>
          </w:p>
        </w:tc>
      </w:tr>
      <w:tr>
        <w:tblPrEx>
          <w:tblCellMar>
            <w:top w:w="0" w:type="dxa"/>
            <w:left w:w="108" w:type="dxa"/>
            <w:bottom w:w="0" w:type="dxa"/>
            <w:right w:w="108" w:type="dxa"/>
          </w:tblCellMar>
        </w:tblPrEx>
        <w:trPr>
          <w:cantSplit/>
          <w:trHeight w:val="2673"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420"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0.0264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-0.0115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-0.0230 </w:t>
            </w:r>
          </w:p>
        </w:tc>
      </w:tr>
      <w:tr>
        <w:tblPrEx>
          <w:tblCellMar>
            <w:top w:w="0" w:type="dxa"/>
            <w:left w:w="108" w:type="dxa"/>
            <w:bottom w:w="0" w:type="dxa"/>
            <w:right w:w="108" w:type="dxa"/>
          </w:tblCellMar>
        </w:tblPrEx>
        <w:trPr>
          <w:trHeight w:val="1894"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20"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0.0162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0.0081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-0.0071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-0.0142 </w:t>
            </w:r>
          </w:p>
        </w:tc>
      </w:tr>
      <w:tr>
        <w:tblPrEx>
          <w:tblCellMar>
            <w:top w:w="0" w:type="dxa"/>
            <w:left w:w="108" w:type="dxa"/>
            <w:bottom w:w="0" w:type="dxa"/>
            <w:right w:w="108" w:type="dxa"/>
          </w:tblCellMar>
        </w:tblPrEx>
        <w:trPr>
          <w:trHeight w:val="1894"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420"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0.0124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0.0062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r>
      <w:tr>
        <w:tblPrEx>
          <w:tblCellMar>
            <w:top w:w="0" w:type="dxa"/>
            <w:left w:w="108" w:type="dxa"/>
            <w:bottom w:w="0" w:type="dxa"/>
            <w:right w:w="108" w:type="dxa"/>
          </w:tblCellMar>
        </w:tblPrEx>
        <w:trPr>
          <w:trHeight w:val="683" w:hRule="atLeast"/>
          <w:jc w:val="center"/>
        </w:trPr>
        <w:tc>
          <w:tcPr>
            <w:tcW w:w="126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22"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76" w:hRule="atLeast"/>
          <w:jc w:val="center"/>
        </w:trPr>
        <w:tc>
          <w:tcPr>
            <w:tcW w:w="1267"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22"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0.0104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0.0052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-0.0046 </w:t>
            </w:r>
          </w:p>
        </w:tc>
        <w:tc>
          <w:tcPr>
            <w:tcW w:w="1522"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4-6-5  五</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9198" w:type="dxa"/>
        <w:jc w:val="center"/>
        <w:tblLayout w:type="autofit"/>
        <w:tblCellMar>
          <w:top w:w="0" w:type="dxa"/>
          <w:left w:w="108" w:type="dxa"/>
          <w:bottom w:w="0" w:type="dxa"/>
          <w:right w:w="108" w:type="dxa"/>
        </w:tblCellMar>
      </w:tblPr>
      <w:tblGrid>
        <w:gridCol w:w="1313"/>
        <w:gridCol w:w="1577"/>
        <w:gridCol w:w="1577"/>
        <w:gridCol w:w="1577"/>
        <w:gridCol w:w="1577"/>
        <w:gridCol w:w="1577"/>
      </w:tblGrid>
      <w:tr>
        <w:tblPrEx>
          <w:tblCellMar>
            <w:top w:w="0" w:type="dxa"/>
            <w:left w:w="108" w:type="dxa"/>
            <w:bottom w:w="0" w:type="dxa"/>
            <w:right w:w="108" w:type="dxa"/>
          </w:tblCellMar>
        </w:tblPrEx>
        <w:trPr>
          <w:trHeight w:val="740" w:hRule="atLeast"/>
          <w:tblHeader/>
          <w:jc w:val="center"/>
        </w:trPr>
        <w:tc>
          <w:tcPr>
            <w:tcW w:w="1313"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77"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77"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77"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77"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77"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569" w:hRule="atLeast"/>
          <w:jc w:val="center"/>
        </w:trPr>
        <w:tc>
          <w:tcPr>
            <w:tcW w:w="13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77"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424" w:hRule="atLeast"/>
          <w:jc w:val="center"/>
        </w:trPr>
        <w:tc>
          <w:tcPr>
            <w:tcW w:w="13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0.0272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-0.0127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-0.0254 </w:t>
            </w:r>
          </w:p>
        </w:tc>
      </w:tr>
      <w:tr>
        <w:tblPrEx>
          <w:tblCellMar>
            <w:top w:w="0" w:type="dxa"/>
            <w:left w:w="108" w:type="dxa"/>
            <w:bottom w:w="0" w:type="dxa"/>
            <w:right w:w="108" w:type="dxa"/>
          </w:tblCellMar>
        </w:tblPrEx>
        <w:trPr>
          <w:cantSplit/>
          <w:trHeight w:val="2499"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424"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0.0232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-0.0216 </w:t>
            </w:r>
          </w:p>
        </w:tc>
      </w:tr>
      <w:tr>
        <w:tblPrEx>
          <w:tblCellMar>
            <w:top w:w="0" w:type="dxa"/>
            <w:left w:w="108" w:type="dxa"/>
            <w:bottom w:w="0" w:type="dxa"/>
            <w:right w:w="108" w:type="dxa"/>
          </w:tblCellMar>
        </w:tblPrEx>
        <w:trPr>
          <w:trHeight w:val="1949"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24"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0.0144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0.0072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-0.0132 </w:t>
            </w:r>
          </w:p>
        </w:tc>
      </w:tr>
      <w:tr>
        <w:tblPrEx>
          <w:tblCellMar>
            <w:top w:w="0" w:type="dxa"/>
            <w:left w:w="108" w:type="dxa"/>
            <w:bottom w:w="0" w:type="dxa"/>
            <w:right w:w="108" w:type="dxa"/>
          </w:tblCellMar>
        </w:tblPrEx>
        <w:trPr>
          <w:trHeight w:val="1949"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424"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-0.0051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-0.0102 </w:t>
            </w:r>
          </w:p>
        </w:tc>
      </w:tr>
      <w:tr>
        <w:tblPrEx>
          <w:tblCellMar>
            <w:top w:w="0" w:type="dxa"/>
            <w:left w:w="108" w:type="dxa"/>
            <w:bottom w:w="0" w:type="dxa"/>
            <w:right w:w="108" w:type="dxa"/>
          </w:tblCellMar>
        </w:tblPrEx>
        <w:trPr>
          <w:trHeight w:val="424" w:hRule="atLeast"/>
          <w:jc w:val="center"/>
        </w:trPr>
        <w:tc>
          <w:tcPr>
            <w:tcW w:w="13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77"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70" w:hRule="atLeast"/>
          <w:jc w:val="center"/>
        </w:trPr>
        <w:tc>
          <w:tcPr>
            <w:tcW w:w="1313"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77"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0.0046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-0.0043 </w:t>
            </w:r>
          </w:p>
        </w:tc>
        <w:tc>
          <w:tcPr>
            <w:tcW w:w="1577"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-0.0086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4-6-6  六</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8836" w:type="dxa"/>
        <w:jc w:val="center"/>
        <w:tblLayout w:type="autofit"/>
        <w:tblCellMar>
          <w:top w:w="0" w:type="dxa"/>
          <w:left w:w="108" w:type="dxa"/>
          <w:bottom w:w="0" w:type="dxa"/>
          <w:right w:w="108" w:type="dxa"/>
        </w:tblCellMar>
      </w:tblPr>
      <w:tblGrid>
        <w:gridCol w:w="1261"/>
        <w:gridCol w:w="1515"/>
        <w:gridCol w:w="1515"/>
        <w:gridCol w:w="1515"/>
        <w:gridCol w:w="1515"/>
        <w:gridCol w:w="1515"/>
      </w:tblGrid>
      <w:tr>
        <w:tblPrEx>
          <w:tblCellMar>
            <w:top w:w="0" w:type="dxa"/>
            <w:left w:w="108" w:type="dxa"/>
            <w:bottom w:w="0" w:type="dxa"/>
            <w:right w:w="108" w:type="dxa"/>
          </w:tblCellMar>
        </w:tblPrEx>
        <w:trPr>
          <w:trHeight w:val="692" w:hRule="atLeast"/>
          <w:tblHeader/>
          <w:jc w:val="center"/>
        </w:trPr>
        <w:tc>
          <w:tcPr>
            <w:tcW w:w="1261"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51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51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51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51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515" w:type="dxa"/>
            <w:tcBorders>
              <w:top w:val="single" w:color="auto" w:sz="4" w:space="0"/>
              <w:left w:val="nil"/>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70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515"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398"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0.0232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0.0116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-0.0103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-0.0206 </w:t>
            </w:r>
          </w:p>
        </w:tc>
      </w:tr>
      <w:tr>
        <w:tblPrEx>
          <w:tblCellMar>
            <w:top w:w="0" w:type="dxa"/>
            <w:left w:w="108" w:type="dxa"/>
            <w:bottom w:w="0" w:type="dxa"/>
            <w:right w:w="108" w:type="dxa"/>
          </w:tblCellMar>
        </w:tblPrEx>
        <w:trPr>
          <w:cantSplit/>
          <w:trHeight w:val="2711"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市政供水、供电保证率高，排水状况好，周围学校、银行、医院等生活设施配套完备</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市政供水、供电保证率较高，排水状况较好，周围学校、银行、医院等生活设施配套较完备</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市政供水、供电保证率一般，排水状况一般，周围学校、银行、医院等生活设施配套一般</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市政供水、供电保证率较低，排水状况较差，离学校、银行、医院等生活设施有一定的距离</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市政供水、供电保证率低，排水状况差，离学校、银行、医院较远，生活设施配套不完备</w:t>
            </w:r>
          </w:p>
        </w:tc>
      </w:tr>
      <w:tr>
        <w:tblPrEx>
          <w:tblCellMar>
            <w:top w:w="0" w:type="dxa"/>
            <w:left w:w="108" w:type="dxa"/>
            <w:bottom w:w="0" w:type="dxa"/>
            <w:right w:w="108" w:type="dxa"/>
          </w:tblCellMar>
        </w:tblPrEx>
        <w:trPr>
          <w:trHeight w:val="398"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0.0198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0.0099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-0.0088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-0.0176 </w:t>
            </w:r>
          </w:p>
        </w:tc>
      </w:tr>
      <w:tr>
        <w:tblPrEx>
          <w:tblCellMar>
            <w:top w:w="0" w:type="dxa"/>
            <w:left w:w="108" w:type="dxa"/>
            <w:bottom w:w="0" w:type="dxa"/>
            <w:right w:w="108" w:type="dxa"/>
          </w:tblCellMar>
        </w:tblPrEx>
        <w:trPr>
          <w:trHeight w:val="1823"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周围绿化程度较低、景观较差、噪音污染较大，水污染较严重</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398"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0.0122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0.0061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-0.0054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-0.0108 </w:t>
            </w:r>
          </w:p>
        </w:tc>
      </w:tr>
      <w:tr>
        <w:tblPrEx>
          <w:tblCellMar>
            <w:top w:w="0" w:type="dxa"/>
            <w:left w:w="108" w:type="dxa"/>
            <w:bottom w:w="0" w:type="dxa"/>
            <w:right w:w="108" w:type="dxa"/>
          </w:tblCellMar>
        </w:tblPrEx>
        <w:trPr>
          <w:trHeight w:val="1823"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398"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0.0092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0.0046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-0.0041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-0.0082 </w:t>
            </w:r>
          </w:p>
        </w:tc>
      </w:tr>
      <w:tr>
        <w:tblPrEx>
          <w:tblCellMar>
            <w:top w:w="0" w:type="dxa"/>
            <w:left w:w="108" w:type="dxa"/>
            <w:bottom w:w="0" w:type="dxa"/>
            <w:right w:w="108" w:type="dxa"/>
          </w:tblCellMar>
        </w:tblPrEx>
        <w:trPr>
          <w:trHeight w:val="69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515"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42" w:hRule="atLeast"/>
          <w:jc w:val="center"/>
        </w:trPr>
        <w:tc>
          <w:tcPr>
            <w:tcW w:w="1261"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515" w:type="dxa"/>
            <w:tcBorders>
              <w:top w:val="nil"/>
              <w:left w:val="single" w:color="auto" w:sz="4" w:space="0"/>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0.0078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0.0039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-0.0035 </w:t>
            </w:r>
          </w:p>
        </w:tc>
        <w:tc>
          <w:tcPr>
            <w:tcW w:w="1515" w:type="dxa"/>
            <w:tcBorders>
              <w:top w:val="nil"/>
              <w:left w:val="nil"/>
              <w:bottom w:val="single" w:color="auto" w:sz="4" w:space="0"/>
              <w:right w:val="single" w:color="auto" w:sz="4" w:space="0"/>
            </w:tcBorders>
            <w:vAlign w:val="center"/>
          </w:tcPr>
          <w:p>
            <w:pPr>
              <w:widowControl/>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-0.0070 </w:t>
            </w:r>
          </w:p>
        </w:tc>
      </w:tr>
    </w:tbl>
    <w:p>
      <w:pPr>
        <w:keepNext/>
        <w:adjustRightInd w:val="0"/>
        <w:snapToGrid w:val="0"/>
        <w:spacing w:before="78" w:beforeLines="25" w:line="312" w:lineRule="auto"/>
        <w:jc w:val="center"/>
        <w:rPr>
          <w:rFonts w:eastAsia="仿宋_GB2312"/>
          <w:b/>
          <w:bCs/>
          <w:color w:val="auto"/>
          <w:sz w:val="24"/>
        </w:rPr>
      </w:pPr>
      <w:r>
        <w:rPr>
          <w:rFonts w:eastAsia="仿宋_GB2312"/>
          <w:b/>
          <w:bCs/>
          <w:color w:val="auto"/>
          <w:sz w:val="24"/>
        </w:rPr>
        <w:t>表</w:t>
      </w:r>
      <w:r>
        <w:rPr>
          <w:rFonts w:hint="eastAsia" w:eastAsia="仿宋_GB2312"/>
          <w:b/>
          <w:bCs/>
          <w:color w:val="auto"/>
          <w:sz w:val="24"/>
        </w:rPr>
        <w:t>4-6-7  七</w:t>
      </w:r>
      <w:r>
        <w:rPr>
          <w:rFonts w:eastAsia="仿宋_GB2312"/>
          <w:b/>
          <w:bCs/>
          <w:color w:val="auto"/>
          <w:sz w:val="24"/>
        </w:rPr>
        <w:t>级</w:t>
      </w:r>
      <w:r>
        <w:rPr>
          <w:rFonts w:hint="eastAsia" w:eastAsia="仿宋_GB2312"/>
          <w:b/>
          <w:bCs/>
          <w:color w:val="auto"/>
          <w:sz w:val="24"/>
        </w:rPr>
        <w:t>公用设施</w:t>
      </w:r>
      <w:r>
        <w:rPr>
          <w:rFonts w:eastAsia="仿宋_GB2312"/>
          <w:b/>
          <w:bCs/>
          <w:color w:val="auto"/>
          <w:sz w:val="24"/>
        </w:rPr>
        <w:t>用地区域因素修正系数表</w:t>
      </w:r>
    </w:p>
    <w:tbl>
      <w:tblPr>
        <w:tblStyle w:val="88"/>
        <w:tblW w:w="8678" w:type="dxa"/>
        <w:jc w:val="center"/>
        <w:tblLayout w:type="autofit"/>
        <w:tblCellMar>
          <w:top w:w="0" w:type="dxa"/>
          <w:left w:w="108" w:type="dxa"/>
          <w:bottom w:w="0" w:type="dxa"/>
          <w:right w:w="108" w:type="dxa"/>
        </w:tblCellMar>
      </w:tblPr>
      <w:tblGrid>
        <w:gridCol w:w="1238"/>
        <w:gridCol w:w="1488"/>
        <w:gridCol w:w="1488"/>
        <w:gridCol w:w="1488"/>
        <w:gridCol w:w="1488"/>
        <w:gridCol w:w="1488"/>
      </w:tblGrid>
      <w:tr>
        <w:tblPrEx>
          <w:tblCellMar>
            <w:top w:w="0" w:type="dxa"/>
            <w:left w:w="108" w:type="dxa"/>
            <w:bottom w:w="0" w:type="dxa"/>
            <w:right w:w="108" w:type="dxa"/>
          </w:tblCellMar>
        </w:tblPrEx>
        <w:trPr>
          <w:trHeight w:val="721" w:hRule="atLeast"/>
          <w:tblHeader/>
          <w:jc w:val="center"/>
        </w:trPr>
        <w:tc>
          <w:tcPr>
            <w:tcW w:w="1238" w:type="dxa"/>
            <w:tcBorders>
              <w:top w:val="single" w:color="auto" w:sz="4" w:space="0"/>
              <w:left w:val="single" w:color="auto" w:sz="4" w:space="0"/>
              <w:bottom w:val="single" w:color="auto" w:sz="4" w:space="0"/>
              <w:right w:val="single" w:color="auto" w:sz="4" w:space="0"/>
              <w:tl2br w:val="single" w:color="auto" w:sz="4" w:space="0"/>
            </w:tcBorders>
            <w:vAlign w:val="center"/>
          </w:tcPr>
          <w:p>
            <w:pPr>
              <w:pageBreakBefore w:val="0"/>
              <w:kinsoku/>
              <w:wordWrap/>
              <w:overflowPunct/>
              <w:topLinePunct w:val="0"/>
              <w:autoSpaceDE/>
              <w:autoSpaceDN/>
              <w:bidi w:val="0"/>
              <w:adjustRightInd w:val="0"/>
              <w:snapToGrid w:val="0"/>
              <w:spacing w:line="240" w:lineRule="auto"/>
              <w:jc w:val="right"/>
              <w:rPr>
                <w:rFonts w:eastAsia="仿宋_GB2312" w:cs="宋体"/>
                <w:b/>
                <w:bCs/>
                <w:color w:val="auto"/>
                <w:kern w:val="0"/>
                <w:sz w:val="22"/>
                <w:szCs w:val="22"/>
              </w:rPr>
            </w:pPr>
            <w:r>
              <w:rPr>
                <w:rFonts w:hint="eastAsia" w:eastAsia="仿宋_GB2312" w:cs="宋体"/>
                <w:b/>
                <w:bCs/>
                <w:color w:val="auto"/>
                <w:kern w:val="0"/>
                <w:sz w:val="22"/>
                <w:szCs w:val="22"/>
              </w:rPr>
              <w:t>优劣度</w:t>
            </w:r>
          </w:p>
          <w:p>
            <w:pPr>
              <w:pageBreakBefore w:val="0"/>
              <w:kinsoku/>
              <w:wordWrap/>
              <w:overflowPunct/>
              <w:topLinePunct w:val="0"/>
              <w:autoSpaceDE/>
              <w:autoSpaceDN/>
              <w:bidi w:val="0"/>
              <w:adjustRightInd w:val="0"/>
              <w:snapToGrid w:val="0"/>
              <w:spacing w:line="240" w:lineRule="auto"/>
              <w:rPr>
                <w:rFonts w:eastAsia="仿宋_GB2312" w:cs="宋体"/>
                <w:b/>
                <w:bCs/>
                <w:color w:val="auto"/>
                <w:kern w:val="0"/>
                <w:sz w:val="22"/>
                <w:szCs w:val="22"/>
              </w:rPr>
            </w:pPr>
            <w:r>
              <w:rPr>
                <w:rFonts w:hint="eastAsia" w:eastAsia="仿宋_GB2312" w:cs="宋体"/>
                <w:b/>
                <w:bCs/>
                <w:color w:val="auto"/>
                <w:kern w:val="0"/>
                <w:sz w:val="22"/>
                <w:szCs w:val="22"/>
              </w:rPr>
              <w:t>因素</w:t>
            </w:r>
          </w:p>
        </w:tc>
        <w:tc>
          <w:tcPr>
            <w:tcW w:w="1488" w:type="dxa"/>
            <w:tcBorders>
              <w:top w:val="single" w:color="auto" w:sz="4" w:space="0"/>
              <w:left w:val="nil"/>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优</w:t>
            </w:r>
          </w:p>
        </w:tc>
        <w:tc>
          <w:tcPr>
            <w:tcW w:w="1488" w:type="dxa"/>
            <w:tcBorders>
              <w:top w:val="single" w:color="auto" w:sz="4" w:space="0"/>
              <w:left w:val="nil"/>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较优</w:t>
            </w:r>
          </w:p>
        </w:tc>
        <w:tc>
          <w:tcPr>
            <w:tcW w:w="1488" w:type="dxa"/>
            <w:tcBorders>
              <w:top w:val="single" w:color="auto" w:sz="4" w:space="0"/>
              <w:left w:val="nil"/>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一般</w:t>
            </w:r>
          </w:p>
        </w:tc>
        <w:tc>
          <w:tcPr>
            <w:tcW w:w="1488" w:type="dxa"/>
            <w:tcBorders>
              <w:top w:val="single" w:color="auto" w:sz="4" w:space="0"/>
              <w:left w:val="nil"/>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较劣</w:t>
            </w:r>
          </w:p>
        </w:tc>
        <w:tc>
          <w:tcPr>
            <w:tcW w:w="1488" w:type="dxa"/>
            <w:tcBorders>
              <w:top w:val="single" w:color="auto" w:sz="4" w:space="0"/>
              <w:left w:val="nil"/>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劣</w:t>
            </w:r>
          </w:p>
        </w:tc>
      </w:tr>
      <w:tr>
        <w:tblPrEx>
          <w:tblCellMar>
            <w:top w:w="0" w:type="dxa"/>
            <w:left w:w="108" w:type="dxa"/>
            <w:bottom w:w="0" w:type="dxa"/>
            <w:right w:w="108" w:type="dxa"/>
          </w:tblCellMar>
        </w:tblPrEx>
        <w:trPr>
          <w:trHeight w:val="1679"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交通条件</w:t>
            </w:r>
          </w:p>
        </w:tc>
        <w:tc>
          <w:tcPr>
            <w:tcW w:w="1488"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道路通达度高、距长途汽车站近，交通方便</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道路通达度较高、距长途汽车站较近，交通较方便</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道路通达度一般、距长途汽车站距离一般，交通一般</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道路通达度较低、距长途汽车站较远，交通较差</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道路通达度低、距长途汽车站远，交通不方便</w:t>
            </w:r>
          </w:p>
        </w:tc>
      </w:tr>
      <w:tr>
        <w:tblPrEx>
          <w:tblCellMar>
            <w:top w:w="0" w:type="dxa"/>
            <w:left w:w="108" w:type="dxa"/>
            <w:bottom w:w="0" w:type="dxa"/>
            <w:right w:w="108" w:type="dxa"/>
          </w:tblCellMar>
        </w:tblPrEx>
        <w:trPr>
          <w:trHeight w:val="413"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jc w:val="center"/>
              <w:rPr>
                <w:rFonts w:hint="eastAsia" w:eastAsia="仿宋_GB2312" w:cs="宋体"/>
                <w:b/>
                <w:bCs/>
                <w:color w:val="auto"/>
                <w:kern w:val="0"/>
                <w:sz w:val="22"/>
                <w:szCs w:val="22"/>
              </w:rPr>
            </w:pPr>
            <w:r>
              <w:rPr>
                <w:rFonts w:hint="eastAsia" w:eastAsia="仿宋_GB2312" w:cs="宋体"/>
                <w:b/>
                <w:bCs/>
                <w:color w:val="auto"/>
                <w:kern w:val="0"/>
                <w:sz w:val="22"/>
                <w:szCs w:val="22"/>
              </w:rPr>
              <w:t>修正系数</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eastAsia" w:eastAsia="仿宋_GB2312" w:cs="宋体"/>
                <w:b/>
                <w:bCs/>
                <w:color w:val="auto"/>
                <w:kern w:val="0"/>
                <w:sz w:val="22"/>
                <w:szCs w:val="22"/>
                <w:highlight w:val="none"/>
              </w:rPr>
            </w:pPr>
            <w:r>
              <w:rPr>
                <w:rFonts w:hint="default" w:eastAsia="仿宋_GB2312" w:cs="宋体"/>
                <w:b w:val="0"/>
                <w:bCs w:val="0"/>
                <w:color w:val="auto"/>
                <w:kern w:val="0"/>
                <w:sz w:val="22"/>
                <w:szCs w:val="22"/>
                <w:highlight w:val="none"/>
                <w:lang w:val="en-US" w:eastAsia="zh-CN"/>
              </w:rPr>
              <w:t xml:space="preserve">0.0224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eastAsia" w:eastAsia="仿宋_GB2312" w:cs="宋体"/>
                <w:b/>
                <w:bCs/>
                <w:color w:val="auto"/>
                <w:kern w:val="0"/>
                <w:sz w:val="22"/>
                <w:szCs w:val="22"/>
                <w:highlight w:val="none"/>
              </w:rPr>
            </w:pPr>
            <w:r>
              <w:rPr>
                <w:rFonts w:hint="default" w:eastAsia="仿宋_GB2312" w:cs="宋体"/>
                <w:b w:val="0"/>
                <w:bCs w:val="0"/>
                <w:color w:val="auto"/>
                <w:kern w:val="0"/>
                <w:sz w:val="22"/>
                <w:szCs w:val="22"/>
                <w:highlight w:val="none"/>
                <w:lang w:val="en-US" w:eastAsia="zh-CN"/>
              </w:rPr>
              <w:t>0.0112</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rPr>
            </w:pPr>
            <w:r>
              <w:rPr>
                <w:rFonts w:hint="eastAsia" w:eastAsia="仿宋_GB2312"/>
                <w:color w:val="auto"/>
                <w:kern w:val="0"/>
                <w:sz w:val="22"/>
                <w:szCs w:val="22"/>
                <w:lang w:bidi="ar"/>
              </w:rPr>
              <w:t>0</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-0.0095 </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olor w:val="auto"/>
                <w:kern w:val="0"/>
                <w:sz w:val="22"/>
                <w:szCs w:val="22"/>
              </w:rPr>
            </w:pPr>
            <w:r>
              <w:rPr>
                <w:rFonts w:eastAsia="仿宋_GB2312"/>
                <w:color w:val="auto"/>
                <w:kern w:val="0"/>
                <w:sz w:val="22"/>
                <w:szCs w:val="22"/>
                <w:lang w:bidi="ar"/>
              </w:rPr>
              <w:t xml:space="preserve">-0.0190 </w:t>
            </w:r>
          </w:p>
        </w:tc>
      </w:tr>
      <w:tr>
        <w:tblPrEx>
          <w:tblCellMar>
            <w:top w:w="0" w:type="dxa"/>
            <w:left w:w="108" w:type="dxa"/>
            <w:bottom w:w="0" w:type="dxa"/>
            <w:right w:w="108" w:type="dxa"/>
          </w:tblCellMar>
        </w:tblPrEx>
        <w:trPr>
          <w:cantSplit/>
          <w:trHeight w:val="2974"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基本设施状况</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市政供水、供电保证率高，排水状况好，周围学校、银行、邮电局（所）、医院等生活设施配套完备</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市政供水、供电保证率较高，排水状况较好，周围学校、银行、邮电局（所）、医院等生活设施配套较完备</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市政供水、供电保证率一般，排水状况一般，周围学校、银行、邮电局（所）、医院等生活设施配套一般</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市政供水、供电保证率较低，排水状况较差，离学校、银行、邮电局（所）、医院等生活设施有一定的距离</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市政供水、供电保证率低，排水状况差，离学校、银行、邮电局（所）、医院较远，生活设施配套不完备</w:t>
            </w:r>
          </w:p>
        </w:tc>
      </w:tr>
      <w:tr>
        <w:tblPrEx>
          <w:tblCellMar>
            <w:top w:w="0" w:type="dxa"/>
            <w:left w:w="108" w:type="dxa"/>
            <w:bottom w:w="0" w:type="dxa"/>
            <w:right w:w="108" w:type="dxa"/>
          </w:tblCellMar>
        </w:tblPrEx>
        <w:trPr>
          <w:trHeight w:val="413"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0.0190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0.0095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eastAsia" w:eastAsia="仿宋_GB2312" w:cs="宋体"/>
                <w:b w:val="0"/>
                <w:bCs w:val="0"/>
                <w:color w:val="auto"/>
                <w:kern w:val="0"/>
                <w:sz w:val="22"/>
                <w:szCs w:val="22"/>
                <w:lang w:val="en-US" w:eastAsia="zh-CN"/>
              </w:rPr>
              <w:t>0</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-0.0080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-0.0160 </w:t>
            </w:r>
          </w:p>
        </w:tc>
      </w:tr>
      <w:tr>
        <w:tblPrEx>
          <w:tblCellMar>
            <w:top w:w="0" w:type="dxa"/>
            <w:left w:w="108" w:type="dxa"/>
            <w:bottom w:w="0" w:type="dxa"/>
            <w:right w:w="108" w:type="dxa"/>
          </w:tblCellMar>
        </w:tblPrEx>
        <w:trPr>
          <w:trHeight w:val="1679" w:hRule="atLeast"/>
          <w:jc w:val="center"/>
        </w:trPr>
        <w:tc>
          <w:tcPr>
            <w:tcW w:w="1238" w:type="dxa"/>
            <w:tcBorders>
              <w:top w:val="nil"/>
              <w:left w:val="single" w:color="auto" w:sz="4" w:space="0"/>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环境条件</w:t>
            </w:r>
          </w:p>
        </w:tc>
        <w:tc>
          <w:tcPr>
            <w:tcW w:w="1488"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周围绿化程度高、景观好，低噪音、环境优美、无水污染</w:t>
            </w:r>
          </w:p>
        </w:tc>
        <w:tc>
          <w:tcPr>
            <w:tcW w:w="1488"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周围绿化程度较高、景观较好，噪音较低、基本无水污染</w:t>
            </w:r>
          </w:p>
        </w:tc>
        <w:tc>
          <w:tcPr>
            <w:tcW w:w="1488"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周围有一定的绿化、景观一般，有轻微的噪音污染、水污染</w:t>
            </w:r>
          </w:p>
        </w:tc>
        <w:tc>
          <w:tcPr>
            <w:tcW w:w="1488"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spacing w:val="-20"/>
                <w:kern w:val="0"/>
                <w:sz w:val="22"/>
                <w:szCs w:val="22"/>
              </w:rPr>
            </w:pPr>
            <w:r>
              <w:rPr>
                <w:rFonts w:eastAsia="仿宋_GB2312"/>
                <w:color w:val="auto"/>
                <w:spacing w:val="-20"/>
                <w:kern w:val="0"/>
                <w:sz w:val="22"/>
                <w:szCs w:val="22"/>
                <w:lang w:bidi="ar"/>
              </w:rPr>
              <w:t>周围绿化程度较低、景观较差、噪音污染较大，水污染较严重</w:t>
            </w:r>
          </w:p>
        </w:tc>
        <w:tc>
          <w:tcPr>
            <w:tcW w:w="1488" w:type="dxa"/>
            <w:tcBorders>
              <w:top w:val="nil"/>
              <w:left w:val="nil"/>
              <w:bottom w:val="single" w:color="auto" w:sz="4" w:space="0"/>
              <w:right w:val="single" w:color="auto" w:sz="4" w:space="0"/>
            </w:tcBorders>
            <w:vAlign w:val="center"/>
          </w:tcPr>
          <w:p>
            <w:pPr>
              <w:keepNext/>
              <w:keepLines/>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周围绿化程度低或没绿化、景观差，噪音大，水污染严重</w:t>
            </w:r>
          </w:p>
        </w:tc>
      </w:tr>
      <w:tr>
        <w:tblPrEx>
          <w:tblCellMar>
            <w:top w:w="0" w:type="dxa"/>
            <w:left w:w="108" w:type="dxa"/>
            <w:bottom w:w="0" w:type="dxa"/>
            <w:right w:w="108" w:type="dxa"/>
          </w:tblCellMar>
        </w:tblPrEx>
        <w:trPr>
          <w:trHeight w:val="413"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0.0118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0.0059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eastAsia" w:eastAsia="仿宋_GB2312" w:cs="宋体"/>
                <w:b w:val="0"/>
                <w:bCs w:val="0"/>
                <w:color w:val="auto"/>
                <w:kern w:val="0"/>
                <w:sz w:val="22"/>
                <w:szCs w:val="22"/>
                <w:lang w:val="en-US" w:eastAsia="zh-CN"/>
              </w:rPr>
              <w:t>0</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-0.0049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-0.0098 </w:t>
            </w:r>
          </w:p>
        </w:tc>
      </w:tr>
      <w:tr>
        <w:tblPrEx>
          <w:tblCellMar>
            <w:top w:w="0" w:type="dxa"/>
            <w:left w:w="108" w:type="dxa"/>
            <w:bottom w:w="0" w:type="dxa"/>
            <w:right w:w="108" w:type="dxa"/>
          </w:tblCellMar>
        </w:tblPrEx>
        <w:trPr>
          <w:trHeight w:val="1693"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城镇规划</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区域内规划完善，且为重点公用设施规划区，近期规划前景好</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区域规划较适合公用设施规划布局，近期规划前景较好</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区域规划为其他用途规划，规划前景一般</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区域规划为其他用途规划，规划前景较差</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区域规划不适宜公用设施规划布局，规划前景差</w:t>
            </w:r>
          </w:p>
        </w:tc>
      </w:tr>
      <w:tr>
        <w:tblPrEx>
          <w:tblCellMar>
            <w:top w:w="0" w:type="dxa"/>
            <w:left w:w="108" w:type="dxa"/>
            <w:bottom w:w="0" w:type="dxa"/>
            <w:right w:w="108" w:type="dxa"/>
          </w:tblCellMar>
        </w:tblPrEx>
        <w:trPr>
          <w:trHeight w:val="413"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0.0090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0.0045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eastAsia" w:eastAsia="仿宋_GB2312" w:cs="宋体"/>
                <w:b w:val="0"/>
                <w:bCs w:val="0"/>
                <w:color w:val="auto"/>
                <w:kern w:val="0"/>
                <w:sz w:val="22"/>
                <w:szCs w:val="22"/>
                <w:lang w:val="en-US" w:eastAsia="zh-CN"/>
              </w:rPr>
              <w:t>0</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-0.0038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-0.0076 </w:t>
            </w:r>
          </w:p>
        </w:tc>
      </w:tr>
      <w:tr>
        <w:tblPrEx>
          <w:tblCellMar>
            <w:top w:w="0" w:type="dxa"/>
            <w:left w:w="108" w:type="dxa"/>
            <w:bottom w:w="0" w:type="dxa"/>
            <w:right w:w="108" w:type="dxa"/>
          </w:tblCellMar>
        </w:tblPrEx>
        <w:trPr>
          <w:trHeight w:val="707"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人口状况</w:t>
            </w:r>
          </w:p>
        </w:tc>
        <w:tc>
          <w:tcPr>
            <w:tcW w:w="1488"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人口密度高</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人口密度较高</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人口密度一般</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人口密度较低</w:t>
            </w:r>
          </w:p>
        </w:tc>
        <w:tc>
          <w:tcPr>
            <w:tcW w:w="1488"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val="0"/>
              <w:snapToGrid w:val="0"/>
              <w:spacing w:line="240" w:lineRule="auto"/>
              <w:jc w:val="center"/>
              <w:textAlignment w:val="center"/>
              <w:rPr>
                <w:rFonts w:eastAsia="仿宋_GB2312" w:cs="宋体"/>
                <w:color w:val="auto"/>
                <w:kern w:val="0"/>
                <w:sz w:val="22"/>
                <w:szCs w:val="22"/>
              </w:rPr>
            </w:pPr>
            <w:r>
              <w:rPr>
                <w:rFonts w:eastAsia="仿宋_GB2312"/>
                <w:color w:val="auto"/>
                <w:kern w:val="0"/>
                <w:sz w:val="22"/>
                <w:szCs w:val="22"/>
                <w:lang w:bidi="ar"/>
              </w:rPr>
              <w:t>人口密度低</w:t>
            </w:r>
          </w:p>
        </w:tc>
      </w:tr>
      <w:tr>
        <w:tblPrEx>
          <w:tblCellMar>
            <w:top w:w="0" w:type="dxa"/>
            <w:left w:w="108" w:type="dxa"/>
            <w:bottom w:w="0" w:type="dxa"/>
            <w:right w:w="108" w:type="dxa"/>
          </w:tblCellMar>
        </w:tblPrEx>
        <w:trPr>
          <w:trHeight w:val="489" w:hRule="atLeast"/>
          <w:jc w:val="center"/>
        </w:trPr>
        <w:tc>
          <w:tcPr>
            <w:tcW w:w="1238" w:type="dxa"/>
            <w:tcBorders>
              <w:top w:val="nil"/>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adjustRightInd w:val="0"/>
              <w:snapToGrid w:val="0"/>
              <w:spacing w:line="240" w:lineRule="auto"/>
              <w:jc w:val="center"/>
              <w:rPr>
                <w:rFonts w:eastAsia="仿宋_GB2312" w:cs="宋体"/>
                <w:b/>
                <w:bCs/>
                <w:color w:val="auto"/>
                <w:kern w:val="0"/>
                <w:sz w:val="22"/>
                <w:szCs w:val="22"/>
              </w:rPr>
            </w:pPr>
            <w:r>
              <w:rPr>
                <w:rFonts w:hint="eastAsia" w:eastAsia="仿宋_GB2312" w:cs="宋体"/>
                <w:b/>
                <w:bCs/>
                <w:color w:val="auto"/>
                <w:kern w:val="0"/>
                <w:sz w:val="22"/>
                <w:szCs w:val="22"/>
              </w:rPr>
              <w:t>修正系数</w:t>
            </w:r>
          </w:p>
        </w:tc>
        <w:tc>
          <w:tcPr>
            <w:tcW w:w="1488" w:type="dxa"/>
            <w:tcBorders>
              <w:top w:val="nil"/>
              <w:left w:val="single" w:color="auto" w:sz="4" w:space="0"/>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0.0076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highlight w:val="none"/>
                <w:lang w:val="en-US" w:eastAsia="zh-CN"/>
              </w:rPr>
            </w:pPr>
            <w:r>
              <w:rPr>
                <w:rFonts w:hint="default" w:eastAsia="仿宋_GB2312" w:cs="宋体"/>
                <w:b w:val="0"/>
                <w:bCs w:val="0"/>
                <w:color w:val="auto"/>
                <w:kern w:val="0"/>
                <w:sz w:val="22"/>
                <w:szCs w:val="22"/>
                <w:highlight w:val="none"/>
                <w:lang w:val="en-US" w:eastAsia="zh-CN"/>
              </w:rPr>
              <w:t xml:space="preserve">0.0038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eastAsia" w:eastAsia="仿宋_GB2312" w:cs="宋体"/>
                <w:b w:val="0"/>
                <w:bCs w:val="0"/>
                <w:color w:val="auto"/>
                <w:kern w:val="0"/>
                <w:sz w:val="22"/>
                <w:szCs w:val="22"/>
                <w:lang w:val="en-US" w:eastAsia="zh-CN"/>
              </w:rPr>
              <w:t>0</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-0.0032 </w:t>
            </w:r>
          </w:p>
        </w:tc>
        <w:tc>
          <w:tcPr>
            <w:tcW w:w="1488" w:type="dxa"/>
            <w:tcBorders>
              <w:top w:val="nil"/>
              <w:left w:val="nil"/>
              <w:bottom w:val="single" w:color="auto" w:sz="4" w:space="0"/>
              <w:right w:val="single" w:color="auto" w:sz="4" w:space="0"/>
            </w:tcBorders>
            <w:vAlign w:val="center"/>
          </w:tcPr>
          <w:p>
            <w:pPr>
              <w:adjustRightInd w:val="0"/>
              <w:snapToGrid w:val="0"/>
              <w:spacing w:line="240" w:lineRule="auto"/>
              <w:jc w:val="center"/>
              <w:rPr>
                <w:rFonts w:hint="default" w:eastAsia="仿宋_GB2312" w:cs="宋体"/>
                <w:b w:val="0"/>
                <w:bCs w:val="0"/>
                <w:color w:val="auto"/>
                <w:kern w:val="0"/>
                <w:sz w:val="22"/>
                <w:szCs w:val="22"/>
                <w:lang w:val="en-US" w:eastAsia="zh-CN"/>
              </w:rPr>
            </w:pPr>
            <w:r>
              <w:rPr>
                <w:rFonts w:hint="default" w:eastAsia="仿宋_GB2312" w:cs="宋体"/>
                <w:b w:val="0"/>
                <w:bCs w:val="0"/>
                <w:color w:val="auto"/>
                <w:kern w:val="0"/>
                <w:sz w:val="22"/>
                <w:szCs w:val="22"/>
                <w:lang w:val="en-US" w:eastAsia="zh-CN"/>
              </w:rPr>
              <w:t xml:space="preserve">-0.0064 </w:t>
            </w:r>
          </w:p>
        </w:tc>
      </w:tr>
    </w:tbl>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（2）剩余年期修正</w:t>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按照土地还原率为4.60%，公用设施用地法定最高出让年期为50年，计算公用设施用地剩余使用年期修正系数。剩余使用年期修正系数计算公式如下：</w:t>
      </w:r>
    </w:p>
    <w:p>
      <w:pPr>
        <w:adjustRightInd w:val="0"/>
        <w:snapToGrid w:val="0"/>
        <w:spacing w:line="312" w:lineRule="auto"/>
        <w:jc w:val="center"/>
        <w:rPr>
          <w:rFonts w:eastAsia="仿宋_GB2312"/>
          <w:i/>
          <w:color w:val="auto"/>
          <w:sz w:val="24"/>
        </w:rPr>
      </w:pPr>
      <w:r>
        <w:rPr>
          <w:rFonts w:eastAsia="仿宋_GB2312"/>
          <w:color w:val="auto"/>
          <w:position w:val="-30"/>
          <w:sz w:val="24"/>
        </w:rPr>
        <w:drawing>
          <wp:inline distT="0" distB="0" distL="0" distR="0">
            <wp:extent cx="1323975" cy="476250"/>
            <wp:effectExtent l="0" t="0" r="0" b="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1323975" cy="476250"/>
                    </a:xfrm>
                    <a:prstGeom prst="rect">
                      <a:avLst/>
                    </a:prstGeom>
                    <a:noFill/>
                    <a:ln>
                      <a:noFill/>
                    </a:ln>
                  </pic:spPr>
                </pic:pic>
              </a:graphicData>
            </a:graphic>
          </wp:inline>
        </w:drawing>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式中：</w:t>
      </w:r>
    </w:p>
    <w:tbl>
      <w:tblPr>
        <w:tblStyle w:val="88"/>
        <w:tblW w:w="4489" w:type="dxa"/>
        <w:jc w:val="center"/>
        <w:tblLayout w:type="fixed"/>
        <w:tblCellMar>
          <w:top w:w="0" w:type="dxa"/>
          <w:left w:w="108" w:type="dxa"/>
          <w:bottom w:w="0" w:type="dxa"/>
          <w:right w:w="108" w:type="dxa"/>
        </w:tblCellMar>
      </w:tblPr>
      <w:tblGrid>
        <w:gridCol w:w="510"/>
        <w:gridCol w:w="643"/>
        <w:gridCol w:w="3336"/>
      </w:tblGrid>
      <w:tr>
        <w:tblPrEx>
          <w:tblCellMar>
            <w:top w:w="0" w:type="dxa"/>
            <w:left w:w="108" w:type="dxa"/>
            <w:bottom w:w="0" w:type="dxa"/>
            <w:right w:w="108" w:type="dxa"/>
          </w:tblCellMar>
        </w:tblPrEx>
        <w:trPr>
          <w:trHeight w:val="283" w:hRule="atLeast"/>
          <w:jc w:val="center"/>
        </w:trPr>
        <w:tc>
          <w:tcPr>
            <w:tcW w:w="510" w:type="dxa"/>
            <w:vAlign w:val="center"/>
          </w:tcPr>
          <w:p>
            <w:pPr>
              <w:adjustRightInd w:val="0"/>
              <w:snapToGrid w:val="0"/>
              <w:spacing w:line="312" w:lineRule="auto"/>
              <w:rPr>
                <w:rFonts w:eastAsia="仿宋_GB2312"/>
                <w:i/>
                <w:color w:val="auto"/>
                <w:sz w:val="24"/>
              </w:rPr>
            </w:pPr>
            <w:r>
              <w:rPr>
                <w:rFonts w:eastAsia="仿宋_GB2312"/>
                <w:i/>
                <w:color w:val="auto"/>
                <w:sz w:val="24"/>
              </w:rPr>
              <w:t>K</w:t>
            </w:r>
            <w:r>
              <w:rPr>
                <w:rFonts w:eastAsia="仿宋_GB2312"/>
                <w:i/>
                <w:color w:val="auto"/>
                <w:sz w:val="24"/>
                <w:vertAlign w:val="subscript"/>
              </w:rPr>
              <w:t>y</w:t>
            </w:r>
          </w:p>
        </w:tc>
        <w:tc>
          <w:tcPr>
            <w:tcW w:w="643"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36" w:type="dxa"/>
            <w:vAlign w:val="center"/>
          </w:tcPr>
          <w:p>
            <w:pPr>
              <w:adjustRightInd w:val="0"/>
              <w:snapToGrid w:val="0"/>
              <w:spacing w:line="312" w:lineRule="auto"/>
              <w:rPr>
                <w:rFonts w:eastAsia="仿宋_GB2312"/>
                <w:color w:val="auto"/>
                <w:sz w:val="24"/>
              </w:rPr>
            </w:pPr>
            <w:r>
              <w:rPr>
                <w:rFonts w:hint="eastAsia" w:eastAsia="仿宋_GB2312"/>
                <w:color w:val="auto"/>
                <w:sz w:val="24"/>
              </w:rPr>
              <w:t>剩余使用</w:t>
            </w:r>
            <w:r>
              <w:rPr>
                <w:rFonts w:eastAsia="仿宋_GB2312"/>
                <w:color w:val="auto"/>
                <w:sz w:val="24"/>
              </w:rPr>
              <w:t>年期修正系数</w:t>
            </w:r>
          </w:p>
        </w:tc>
      </w:tr>
      <w:tr>
        <w:tblPrEx>
          <w:tblCellMar>
            <w:top w:w="0" w:type="dxa"/>
            <w:left w:w="108" w:type="dxa"/>
            <w:bottom w:w="0" w:type="dxa"/>
            <w:right w:w="108" w:type="dxa"/>
          </w:tblCellMar>
        </w:tblPrEx>
        <w:trPr>
          <w:trHeight w:val="283" w:hRule="atLeast"/>
          <w:jc w:val="center"/>
        </w:trPr>
        <w:tc>
          <w:tcPr>
            <w:tcW w:w="510" w:type="dxa"/>
            <w:vAlign w:val="center"/>
          </w:tcPr>
          <w:p>
            <w:pPr>
              <w:adjustRightInd w:val="0"/>
              <w:snapToGrid w:val="0"/>
              <w:spacing w:line="312" w:lineRule="auto"/>
              <w:rPr>
                <w:rFonts w:eastAsia="仿宋_GB2312"/>
                <w:i/>
                <w:color w:val="auto"/>
                <w:sz w:val="24"/>
              </w:rPr>
            </w:pPr>
            <w:r>
              <w:rPr>
                <w:rFonts w:eastAsia="仿宋_GB2312"/>
                <w:i/>
                <w:color w:val="auto"/>
                <w:sz w:val="24"/>
              </w:rPr>
              <w:t>m1</w:t>
            </w:r>
          </w:p>
        </w:tc>
        <w:tc>
          <w:tcPr>
            <w:tcW w:w="643"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36" w:type="dxa"/>
            <w:vAlign w:val="center"/>
          </w:tcPr>
          <w:p>
            <w:pPr>
              <w:adjustRightInd w:val="0"/>
              <w:snapToGrid w:val="0"/>
              <w:spacing w:line="312" w:lineRule="auto"/>
              <w:rPr>
                <w:rFonts w:eastAsia="仿宋_GB2312"/>
                <w:color w:val="auto"/>
                <w:sz w:val="24"/>
              </w:rPr>
            </w:pPr>
            <w:r>
              <w:rPr>
                <w:rFonts w:eastAsia="仿宋_GB2312"/>
                <w:color w:val="auto"/>
                <w:sz w:val="24"/>
              </w:rPr>
              <w:t>实际出让年期</w:t>
            </w:r>
          </w:p>
        </w:tc>
      </w:tr>
      <w:tr>
        <w:tblPrEx>
          <w:tblCellMar>
            <w:top w:w="0" w:type="dxa"/>
            <w:left w:w="108" w:type="dxa"/>
            <w:bottom w:w="0" w:type="dxa"/>
            <w:right w:w="108" w:type="dxa"/>
          </w:tblCellMar>
        </w:tblPrEx>
        <w:trPr>
          <w:trHeight w:val="283" w:hRule="atLeast"/>
          <w:jc w:val="center"/>
        </w:trPr>
        <w:tc>
          <w:tcPr>
            <w:tcW w:w="510" w:type="dxa"/>
            <w:vAlign w:val="center"/>
          </w:tcPr>
          <w:p>
            <w:pPr>
              <w:adjustRightInd w:val="0"/>
              <w:snapToGrid w:val="0"/>
              <w:spacing w:line="312" w:lineRule="auto"/>
              <w:rPr>
                <w:rFonts w:eastAsia="仿宋_GB2312"/>
                <w:i/>
                <w:color w:val="auto"/>
                <w:sz w:val="24"/>
              </w:rPr>
            </w:pPr>
            <w:r>
              <w:rPr>
                <w:rFonts w:eastAsia="仿宋_GB2312"/>
                <w:i/>
                <w:color w:val="auto"/>
                <w:sz w:val="24"/>
              </w:rPr>
              <w:t>m</w:t>
            </w:r>
          </w:p>
        </w:tc>
        <w:tc>
          <w:tcPr>
            <w:tcW w:w="643"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36" w:type="dxa"/>
            <w:vAlign w:val="center"/>
          </w:tcPr>
          <w:p>
            <w:pPr>
              <w:adjustRightInd w:val="0"/>
              <w:snapToGrid w:val="0"/>
              <w:spacing w:line="312" w:lineRule="auto"/>
              <w:rPr>
                <w:rFonts w:eastAsia="仿宋_GB2312"/>
                <w:color w:val="auto"/>
                <w:sz w:val="24"/>
              </w:rPr>
            </w:pPr>
            <w:r>
              <w:rPr>
                <w:rFonts w:eastAsia="仿宋_GB2312"/>
                <w:color w:val="auto"/>
                <w:sz w:val="24"/>
              </w:rPr>
              <w:t>土地使用权法定最高出让年限</w:t>
            </w:r>
          </w:p>
        </w:tc>
      </w:tr>
      <w:tr>
        <w:tblPrEx>
          <w:tblCellMar>
            <w:top w:w="0" w:type="dxa"/>
            <w:left w:w="108" w:type="dxa"/>
            <w:bottom w:w="0" w:type="dxa"/>
            <w:right w:w="108" w:type="dxa"/>
          </w:tblCellMar>
        </w:tblPrEx>
        <w:trPr>
          <w:trHeight w:val="283" w:hRule="atLeast"/>
          <w:jc w:val="center"/>
        </w:trPr>
        <w:tc>
          <w:tcPr>
            <w:tcW w:w="510" w:type="dxa"/>
            <w:vAlign w:val="center"/>
          </w:tcPr>
          <w:p>
            <w:pPr>
              <w:adjustRightInd w:val="0"/>
              <w:snapToGrid w:val="0"/>
              <w:spacing w:line="312" w:lineRule="auto"/>
              <w:rPr>
                <w:rFonts w:eastAsia="仿宋_GB2312"/>
                <w:i/>
                <w:color w:val="auto"/>
                <w:sz w:val="24"/>
              </w:rPr>
            </w:pPr>
            <w:r>
              <w:rPr>
                <w:rFonts w:eastAsia="仿宋_GB2312"/>
                <w:i/>
                <w:color w:val="auto"/>
                <w:sz w:val="24"/>
              </w:rPr>
              <w:t>r</w:t>
            </w:r>
          </w:p>
        </w:tc>
        <w:tc>
          <w:tcPr>
            <w:tcW w:w="643" w:type="dxa"/>
            <w:vAlign w:val="center"/>
          </w:tcPr>
          <w:p>
            <w:pPr>
              <w:adjustRightInd w:val="0"/>
              <w:snapToGrid w:val="0"/>
              <w:spacing w:line="312" w:lineRule="auto"/>
              <w:rPr>
                <w:rFonts w:eastAsia="仿宋_GB2312"/>
                <w:i/>
                <w:color w:val="auto"/>
                <w:sz w:val="24"/>
              </w:rPr>
            </w:pPr>
            <w:r>
              <w:rPr>
                <w:rFonts w:eastAsia="仿宋_GB2312"/>
                <w:i/>
                <w:color w:val="auto"/>
                <w:sz w:val="24"/>
              </w:rPr>
              <w:t>——</w:t>
            </w:r>
          </w:p>
        </w:tc>
        <w:tc>
          <w:tcPr>
            <w:tcW w:w="3336" w:type="dxa"/>
            <w:vAlign w:val="center"/>
          </w:tcPr>
          <w:p>
            <w:pPr>
              <w:adjustRightInd w:val="0"/>
              <w:snapToGrid w:val="0"/>
              <w:spacing w:line="312" w:lineRule="auto"/>
              <w:rPr>
                <w:rFonts w:eastAsia="仿宋_GB2312"/>
                <w:color w:val="auto"/>
                <w:sz w:val="24"/>
              </w:rPr>
            </w:pPr>
            <w:r>
              <w:rPr>
                <w:rFonts w:eastAsia="仿宋_GB2312"/>
                <w:color w:val="auto"/>
                <w:sz w:val="24"/>
              </w:rPr>
              <w:t>土地</w:t>
            </w:r>
            <w:r>
              <w:rPr>
                <w:rFonts w:hint="eastAsia" w:eastAsia="仿宋_GB2312"/>
                <w:color w:val="auto"/>
                <w:sz w:val="24"/>
              </w:rPr>
              <w:t>还原率</w:t>
            </w:r>
          </w:p>
        </w:tc>
      </w:tr>
    </w:tbl>
    <w:p>
      <w:pPr>
        <w:adjustRightInd w:val="0"/>
        <w:snapToGrid w:val="0"/>
        <w:spacing w:before="156" w:beforeLines="50" w:line="312" w:lineRule="auto"/>
        <w:jc w:val="center"/>
        <w:rPr>
          <w:rFonts w:eastAsia="仿宋_GB2312"/>
          <w:b/>
          <w:color w:val="auto"/>
          <w:sz w:val="24"/>
        </w:rPr>
      </w:pPr>
      <w:r>
        <w:rPr>
          <w:rFonts w:eastAsia="仿宋_GB2312"/>
          <w:b/>
          <w:bCs/>
          <w:color w:val="auto"/>
          <w:sz w:val="24"/>
        </w:rPr>
        <w:t>表</w:t>
      </w:r>
      <w:r>
        <w:rPr>
          <w:rFonts w:hint="eastAsia" w:eastAsia="仿宋_GB2312"/>
          <w:b/>
          <w:bCs/>
          <w:color w:val="auto"/>
          <w:sz w:val="24"/>
        </w:rPr>
        <w:t>4-6-8</w:t>
      </w:r>
      <w:r>
        <w:rPr>
          <w:rFonts w:eastAsia="仿宋_GB2312"/>
          <w:b/>
          <w:color w:val="auto"/>
          <w:sz w:val="24"/>
        </w:rPr>
        <w:t xml:space="preserve"> 公用设施用地</w:t>
      </w:r>
      <w:r>
        <w:rPr>
          <w:rFonts w:hint="eastAsia" w:eastAsia="仿宋_GB2312"/>
          <w:b/>
          <w:color w:val="auto"/>
          <w:sz w:val="24"/>
        </w:rPr>
        <w:t>剩余使用</w:t>
      </w:r>
      <w:r>
        <w:rPr>
          <w:rFonts w:eastAsia="仿宋_GB2312"/>
          <w:b/>
          <w:color w:val="auto"/>
          <w:sz w:val="24"/>
        </w:rPr>
        <w:t>年期修正系数表</w:t>
      </w:r>
    </w:p>
    <w:tbl>
      <w:tblPr>
        <w:tblStyle w:val="88"/>
        <w:tblW w:w="48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757"/>
        <w:gridCol w:w="758"/>
        <w:gridCol w:w="758"/>
        <w:gridCol w:w="758"/>
        <w:gridCol w:w="758"/>
        <w:gridCol w:w="758"/>
        <w:gridCol w:w="758"/>
        <w:gridCol w:w="758"/>
        <w:gridCol w:w="758"/>
        <w:gridCol w:w="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剩余年限</w:t>
            </w:r>
          </w:p>
        </w:tc>
        <w:tc>
          <w:tcPr>
            <w:tcW w:w="434" w:type="pct"/>
            <w:vAlign w:val="center"/>
          </w:tcPr>
          <w:p>
            <w:pPr>
              <w:spacing w:line="280" w:lineRule="exact"/>
              <w:jc w:val="center"/>
              <w:rPr>
                <w:rFonts w:eastAsia="仿宋_GB2312"/>
                <w:color w:val="auto"/>
                <w:spacing w:val="-20"/>
                <w:kern w:val="0"/>
                <w:sz w:val="24"/>
              </w:rPr>
            </w:pPr>
            <w:r>
              <w:rPr>
                <w:rFonts w:eastAsia="仿宋_GB2312"/>
                <w:color w:val="auto"/>
                <w:spacing w:val="-20"/>
                <w:sz w:val="24"/>
              </w:rPr>
              <w:t>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修正系数</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0.0492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0.0962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0.1411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0.1841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0.2251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0.2644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0.3019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0.3378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0.3721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0.4049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剩余年限</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修正系数</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0.4363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0.4663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0.4949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0.5223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0.5485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0.5736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0.5975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0.6204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0.6423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0.6632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剩余年限</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29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修正系数</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0.6832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0.7023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0.7206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0.7381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0.7548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0.7708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0.7860</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0.8006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0.8146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剩余年限</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39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修正系数</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0.8407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0.8529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0.8645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0.8757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0.8863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0.8965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0.9063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0.9156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0.9245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剩余年限</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44</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48</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49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52" w:type="pct"/>
            <w:vAlign w:val="center"/>
          </w:tcPr>
          <w:p>
            <w:pPr>
              <w:adjustRightInd w:val="0"/>
              <w:snapToGrid w:val="0"/>
              <w:spacing w:line="280" w:lineRule="exact"/>
              <w:jc w:val="center"/>
              <w:rPr>
                <w:rFonts w:eastAsia="仿宋_GB2312"/>
                <w:b/>
                <w:color w:val="auto"/>
                <w:spacing w:val="-20"/>
                <w:kern w:val="0"/>
                <w:sz w:val="24"/>
              </w:rPr>
            </w:pPr>
            <w:r>
              <w:rPr>
                <w:rFonts w:eastAsia="仿宋_GB2312"/>
                <w:b/>
                <w:color w:val="auto"/>
                <w:spacing w:val="-20"/>
                <w:kern w:val="0"/>
                <w:sz w:val="24"/>
              </w:rPr>
              <w:t>修正系数</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0.9411</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0.9489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0.9563</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0.9635</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0.9702</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0.9767</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0.9830</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0.9889</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0.9946</w:t>
            </w:r>
          </w:p>
        </w:tc>
        <w:tc>
          <w:tcPr>
            <w:tcW w:w="434" w:type="pct"/>
            <w:vAlign w:val="center"/>
          </w:tcPr>
          <w:p>
            <w:pPr>
              <w:spacing w:line="280" w:lineRule="exact"/>
              <w:jc w:val="center"/>
              <w:rPr>
                <w:rFonts w:eastAsia="仿宋_GB2312"/>
                <w:color w:val="auto"/>
                <w:spacing w:val="-20"/>
                <w:sz w:val="24"/>
              </w:rPr>
            </w:pPr>
            <w:r>
              <w:rPr>
                <w:rFonts w:eastAsia="仿宋_GB2312"/>
                <w:color w:val="auto"/>
                <w:spacing w:val="-20"/>
                <w:sz w:val="24"/>
              </w:rPr>
              <w:t>1.0000</w:t>
            </w:r>
          </w:p>
        </w:tc>
      </w:tr>
    </w:tbl>
    <w:p>
      <w:pPr>
        <w:adjustRightInd w:val="0"/>
        <w:snapToGrid w:val="0"/>
        <w:spacing w:line="264" w:lineRule="auto"/>
        <w:ind w:firstLine="420" w:firstLineChars="200"/>
        <w:rPr>
          <w:rFonts w:hint="eastAsia" w:eastAsia="仿宋_GB2312"/>
          <w:color w:val="auto"/>
          <w:szCs w:val="21"/>
          <w:lang w:eastAsia="zh-CN"/>
        </w:rPr>
      </w:pPr>
      <w:r>
        <w:rPr>
          <w:rFonts w:eastAsia="仿宋_GB2312"/>
          <w:color w:val="auto"/>
          <w:szCs w:val="21"/>
        </w:rPr>
        <w:t>注：</w:t>
      </w:r>
      <w:r>
        <w:rPr>
          <w:rFonts w:hint="eastAsia" w:eastAsia="仿宋_GB2312" w:cs="宋体"/>
          <w:color w:val="auto"/>
          <w:szCs w:val="21"/>
        </w:rPr>
        <w:t>①</w:t>
      </w:r>
      <w:r>
        <w:rPr>
          <w:rFonts w:eastAsia="仿宋_GB2312"/>
          <w:color w:val="auto"/>
          <w:szCs w:val="21"/>
        </w:rPr>
        <w:t>在进行宗地评估时可根据公式</w:t>
      </w:r>
      <w:r>
        <w:rPr>
          <w:rFonts w:eastAsia="仿宋_GB2312"/>
          <w:i/>
          <w:iCs/>
          <w:color w:val="auto"/>
          <w:szCs w:val="21"/>
        </w:rPr>
        <w:t>K</w:t>
      </w:r>
      <w:r>
        <w:rPr>
          <w:rFonts w:eastAsia="仿宋_GB2312"/>
          <w:i/>
          <w:iCs/>
          <w:color w:val="auto"/>
          <w:szCs w:val="21"/>
          <w:vertAlign w:val="subscript"/>
        </w:rPr>
        <w:t>y</w:t>
      </w:r>
      <w:r>
        <w:rPr>
          <w:rFonts w:eastAsia="仿宋_GB2312"/>
          <w:i/>
          <w:iCs/>
          <w:color w:val="auto"/>
          <w:szCs w:val="21"/>
        </w:rPr>
        <w:t>=[1－（1÷（1+r）</w:t>
      </w:r>
      <w:r>
        <w:rPr>
          <w:rFonts w:eastAsia="仿宋_GB2312"/>
          <w:i/>
          <w:iCs/>
          <w:color w:val="auto"/>
          <w:szCs w:val="21"/>
          <w:vertAlign w:val="superscript"/>
        </w:rPr>
        <w:t>ml</w:t>
      </w:r>
      <w:r>
        <w:rPr>
          <w:rFonts w:eastAsia="仿宋_GB2312"/>
          <w:i/>
          <w:iCs/>
          <w:color w:val="auto"/>
          <w:szCs w:val="21"/>
        </w:rPr>
        <w:t>）]÷[1－[1÷（1+r）</w:t>
      </w:r>
      <w:r>
        <w:rPr>
          <w:rFonts w:eastAsia="仿宋_GB2312"/>
          <w:i/>
          <w:iCs/>
          <w:color w:val="auto"/>
          <w:szCs w:val="21"/>
          <w:vertAlign w:val="superscript"/>
        </w:rPr>
        <w:t>m</w:t>
      </w:r>
      <w:r>
        <w:rPr>
          <w:rFonts w:eastAsia="仿宋_GB2312"/>
          <w:i/>
          <w:iCs/>
          <w:color w:val="auto"/>
          <w:szCs w:val="21"/>
        </w:rPr>
        <w:t>]</w:t>
      </w:r>
      <w:r>
        <w:rPr>
          <w:rFonts w:eastAsia="仿宋_GB2312"/>
          <w:color w:val="auto"/>
          <w:szCs w:val="21"/>
        </w:rPr>
        <w:t>直接计算</w:t>
      </w:r>
      <w:r>
        <w:rPr>
          <w:rFonts w:hint="eastAsia" w:eastAsia="仿宋_GB2312"/>
          <w:color w:val="auto"/>
          <w:szCs w:val="21"/>
          <w:lang w:eastAsia="zh-CN"/>
        </w:rPr>
        <w:t>。</w:t>
      </w:r>
    </w:p>
    <w:p>
      <w:pPr>
        <w:adjustRightInd w:val="0"/>
        <w:snapToGrid w:val="0"/>
        <w:spacing w:line="264" w:lineRule="auto"/>
        <w:ind w:firstLine="420" w:firstLineChars="200"/>
        <w:rPr>
          <w:rFonts w:hint="eastAsia" w:eastAsia="仿宋_GB2312"/>
          <w:color w:val="auto"/>
          <w:szCs w:val="21"/>
          <w:lang w:eastAsia="zh-CN"/>
        </w:rPr>
      </w:pPr>
      <w:r>
        <w:rPr>
          <w:rFonts w:hint="eastAsia" w:eastAsia="仿宋_GB2312" w:cs="宋体"/>
          <w:color w:val="auto"/>
          <w:szCs w:val="21"/>
        </w:rPr>
        <w:t>②表中为公用设施用地还原率取4.60％条件下的年期修正系数</w:t>
      </w:r>
      <w:r>
        <w:rPr>
          <w:rFonts w:hint="eastAsia" w:eastAsia="仿宋_GB2312" w:cs="宋体"/>
          <w:color w:val="auto"/>
          <w:szCs w:val="21"/>
          <w:lang w:eastAsia="zh-CN"/>
        </w:rPr>
        <w:t>。</w:t>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（3）个别因素修正</w:t>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①临路条件修正</w:t>
      </w:r>
    </w:p>
    <w:p>
      <w:pPr>
        <w:keepNext/>
        <w:keepLines w:val="0"/>
        <w:pageBreakBefore w:val="0"/>
        <w:widowControl w:val="0"/>
        <w:kinsoku/>
        <w:wordWrap/>
        <w:overflowPunct/>
        <w:topLinePunct w:val="0"/>
        <w:autoSpaceDE/>
        <w:autoSpaceDN/>
        <w:bidi w:val="0"/>
        <w:adjustRightInd w:val="0"/>
        <w:snapToGrid w:val="0"/>
        <w:spacing w:line="312" w:lineRule="auto"/>
        <w:ind w:firstLine="481" w:firstLineChars="200"/>
        <w:jc w:val="center"/>
        <w:textAlignment w:val="auto"/>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4-6-9  </w:t>
      </w:r>
      <w:r>
        <w:rPr>
          <w:rFonts w:eastAsia="仿宋_GB2312"/>
          <w:b/>
          <w:color w:val="auto"/>
          <w:sz w:val="24"/>
        </w:rPr>
        <w:t>临路条件修正系数表</w:t>
      </w:r>
    </w:p>
    <w:tbl>
      <w:tblPr>
        <w:tblStyle w:val="88"/>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9"/>
        <w:gridCol w:w="1746"/>
        <w:gridCol w:w="1950"/>
        <w:gridCol w:w="1746"/>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951" w:type="pct"/>
            <w:vAlign w:val="center"/>
          </w:tcPr>
          <w:p>
            <w:pPr>
              <w:adjustRightInd w:val="0"/>
              <w:snapToGrid w:val="0"/>
              <w:jc w:val="center"/>
              <w:rPr>
                <w:rFonts w:eastAsia="仿宋_GB2312"/>
                <w:b/>
                <w:bCs/>
                <w:color w:val="auto"/>
                <w:kern w:val="0"/>
                <w:sz w:val="24"/>
                <w:szCs w:val="21"/>
              </w:rPr>
            </w:pPr>
            <w:r>
              <w:rPr>
                <w:rFonts w:eastAsia="仿宋_GB2312"/>
                <w:b/>
                <w:bCs/>
                <w:color w:val="auto"/>
                <w:kern w:val="0"/>
                <w:sz w:val="24"/>
                <w:szCs w:val="21"/>
              </w:rPr>
              <w:t>临路状况</w:t>
            </w:r>
          </w:p>
        </w:tc>
        <w:tc>
          <w:tcPr>
            <w:tcW w:w="983" w:type="pct"/>
            <w:vAlign w:val="center"/>
          </w:tcPr>
          <w:p>
            <w:pPr>
              <w:adjustRightInd w:val="0"/>
              <w:snapToGrid w:val="0"/>
              <w:jc w:val="center"/>
              <w:rPr>
                <w:rFonts w:eastAsia="仿宋_GB2312"/>
                <w:b/>
                <w:bCs/>
                <w:color w:val="auto"/>
                <w:kern w:val="0"/>
                <w:sz w:val="24"/>
                <w:szCs w:val="21"/>
              </w:rPr>
            </w:pPr>
            <w:r>
              <w:rPr>
                <w:rFonts w:eastAsia="仿宋_GB2312"/>
                <w:b/>
                <w:bCs/>
                <w:color w:val="auto"/>
                <w:kern w:val="0"/>
                <w:sz w:val="24"/>
                <w:szCs w:val="21"/>
              </w:rPr>
              <w:t>临主干道</w:t>
            </w:r>
          </w:p>
        </w:tc>
        <w:tc>
          <w:tcPr>
            <w:tcW w:w="1098" w:type="pct"/>
            <w:vAlign w:val="center"/>
          </w:tcPr>
          <w:p>
            <w:pPr>
              <w:adjustRightInd w:val="0"/>
              <w:snapToGrid w:val="0"/>
              <w:jc w:val="center"/>
              <w:rPr>
                <w:rFonts w:eastAsia="仿宋_GB2312"/>
                <w:b/>
                <w:bCs/>
                <w:color w:val="auto"/>
                <w:kern w:val="0"/>
                <w:sz w:val="24"/>
                <w:szCs w:val="21"/>
              </w:rPr>
            </w:pPr>
            <w:r>
              <w:rPr>
                <w:rFonts w:eastAsia="仿宋_GB2312"/>
                <w:b/>
                <w:bCs/>
                <w:color w:val="auto"/>
                <w:kern w:val="0"/>
                <w:sz w:val="24"/>
                <w:szCs w:val="21"/>
              </w:rPr>
              <w:t>临次干道</w:t>
            </w:r>
          </w:p>
        </w:tc>
        <w:tc>
          <w:tcPr>
            <w:tcW w:w="983" w:type="pct"/>
            <w:vAlign w:val="center"/>
          </w:tcPr>
          <w:p>
            <w:pPr>
              <w:adjustRightInd w:val="0"/>
              <w:snapToGrid w:val="0"/>
              <w:jc w:val="center"/>
              <w:rPr>
                <w:rFonts w:eastAsia="仿宋_GB2312"/>
                <w:b/>
                <w:bCs/>
                <w:color w:val="auto"/>
                <w:kern w:val="0"/>
                <w:sz w:val="24"/>
                <w:szCs w:val="21"/>
              </w:rPr>
            </w:pPr>
            <w:r>
              <w:rPr>
                <w:rFonts w:eastAsia="仿宋_GB2312"/>
                <w:b/>
                <w:bCs/>
                <w:color w:val="auto"/>
                <w:kern w:val="0"/>
                <w:sz w:val="24"/>
                <w:szCs w:val="21"/>
              </w:rPr>
              <w:t>临支路</w:t>
            </w:r>
          </w:p>
        </w:tc>
        <w:tc>
          <w:tcPr>
            <w:tcW w:w="983" w:type="pct"/>
            <w:vAlign w:val="center"/>
          </w:tcPr>
          <w:p>
            <w:pPr>
              <w:adjustRightInd w:val="0"/>
              <w:snapToGrid w:val="0"/>
              <w:jc w:val="center"/>
              <w:rPr>
                <w:rFonts w:eastAsia="仿宋_GB2312"/>
                <w:b/>
                <w:bCs/>
                <w:color w:val="auto"/>
                <w:kern w:val="0"/>
                <w:sz w:val="24"/>
                <w:szCs w:val="21"/>
              </w:rPr>
            </w:pPr>
            <w:r>
              <w:rPr>
                <w:rFonts w:eastAsia="仿宋_GB2312"/>
                <w:b/>
                <w:bCs/>
                <w:color w:val="auto"/>
                <w:kern w:val="0"/>
                <w:sz w:val="24"/>
                <w:szCs w:val="21"/>
              </w:rPr>
              <w:t>不临路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951" w:type="pct"/>
            <w:vAlign w:val="center"/>
          </w:tcPr>
          <w:p>
            <w:pPr>
              <w:adjustRightInd w:val="0"/>
              <w:snapToGrid w:val="0"/>
              <w:jc w:val="center"/>
              <w:rPr>
                <w:rFonts w:eastAsia="仿宋_GB2312"/>
                <w:b/>
                <w:color w:val="auto"/>
                <w:kern w:val="0"/>
                <w:sz w:val="24"/>
                <w:szCs w:val="21"/>
              </w:rPr>
            </w:pPr>
            <w:r>
              <w:rPr>
                <w:rFonts w:eastAsia="仿宋_GB2312"/>
                <w:b/>
                <w:color w:val="auto"/>
                <w:kern w:val="0"/>
                <w:sz w:val="24"/>
                <w:szCs w:val="21"/>
              </w:rPr>
              <w:t>修正系数</w:t>
            </w:r>
          </w:p>
        </w:tc>
        <w:tc>
          <w:tcPr>
            <w:tcW w:w="983" w:type="pct"/>
            <w:vAlign w:val="center"/>
          </w:tcPr>
          <w:p>
            <w:pPr>
              <w:adjustRightInd w:val="0"/>
              <w:snapToGrid w:val="0"/>
              <w:jc w:val="center"/>
              <w:rPr>
                <w:rFonts w:eastAsia="仿宋_GB2312"/>
                <w:color w:val="auto"/>
                <w:kern w:val="0"/>
                <w:sz w:val="24"/>
                <w:szCs w:val="21"/>
              </w:rPr>
            </w:pPr>
            <w:r>
              <w:rPr>
                <w:rFonts w:hint="eastAsia" w:eastAsia="仿宋_GB2312"/>
                <w:color w:val="auto"/>
                <w:kern w:val="0"/>
                <w:sz w:val="24"/>
                <w:szCs w:val="21"/>
              </w:rPr>
              <w:t>1.10~1.15</w:t>
            </w:r>
          </w:p>
        </w:tc>
        <w:tc>
          <w:tcPr>
            <w:tcW w:w="1098" w:type="pct"/>
            <w:vAlign w:val="center"/>
          </w:tcPr>
          <w:p>
            <w:pPr>
              <w:adjustRightInd w:val="0"/>
              <w:snapToGrid w:val="0"/>
              <w:jc w:val="center"/>
              <w:rPr>
                <w:rFonts w:eastAsia="仿宋_GB2312"/>
                <w:color w:val="auto"/>
                <w:kern w:val="0"/>
                <w:sz w:val="24"/>
                <w:szCs w:val="21"/>
              </w:rPr>
            </w:pPr>
            <w:r>
              <w:rPr>
                <w:rFonts w:hint="eastAsia" w:eastAsia="仿宋_GB2312"/>
                <w:color w:val="auto"/>
                <w:kern w:val="0"/>
                <w:sz w:val="24"/>
                <w:szCs w:val="21"/>
              </w:rPr>
              <w:t>1.00~1.10</w:t>
            </w:r>
          </w:p>
        </w:tc>
        <w:tc>
          <w:tcPr>
            <w:tcW w:w="983" w:type="pct"/>
            <w:vAlign w:val="center"/>
          </w:tcPr>
          <w:p>
            <w:pPr>
              <w:adjustRightInd w:val="0"/>
              <w:snapToGrid w:val="0"/>
              <w:jc w:val="center"/>
              <w:rPr>
                <w:rFonts w:eastAsia="仿宋_GB2312"/>
                <w:color w:val="auto"/>
                <w:kern w:val="0"/>
                <w:sz w:val="24"/>
                <w:szCs w:val="21"/>
              </w:rPr>
            </w:pPr>
            <w:r>
              <w:rPr>
                <w:rFonts w:eastAsia="仿宋_GB2312"/>
                <w:color w:val="auto"/>
                <w:kern w:val="0"/>
                <w:sz w:val="24"/>
                <w:szCs w:val="21"/>
              </w:rPr>
              <w:t>0.95</w:t>
            </w:r>
            <w:r>
              <w:rPr>
                <w:rFonts w:hint="eastAsia" w:eastAsia="仿宋_GB2312"/>
                <w:color w:val="auto"/>
                <w:kern w:val="0"/>
                <w:sz w:val="24"/>
                <w:szCs w:val="21"/>
              </w:rPr>
              <w:t>~1.00</w:t>
            </w:r>
          </w:p>
        </w:tc>
        <w:tc>
          <w:tcPr>
            <w:tcW w:w="983" w:type="pct"/>
            <w:vAlign w:val="center"/>
          </w:tcPr>
          <w:p>
            <w:pPr>
              <w:adjustRightInd w:val="0"/>
              <w:snapToGrid w:val="0"/>
              <w:jc w:val="center"/>
              <w:rPr>
                <w:rFonts w:eastAsia="仿宋_GB2312"/>
                <w:color w:val="auto"/>
                <w:kern w:val="0"/>
                <w:sz w:val="24"/>
                <w:szCs w:val="21"/>
              </w:rPr>
            </w:pPr>
            <w:r>
              <w:rPr>
                <w:rFonts w:eastAsia="仿宋_GB2312"/>
                <w:color w:val="auto"/>
                <w:kern w:val="0"/>
                <w:sz w:val="24"/>
                <w:szCs w:val="21"/>
              </w:rPr>
              <w:t>0.90</w:t>
            </w:r>
            <w:r>
              <w:rPr>
                <w:rFonts w:hint="eastAsia" w:eastAsia="仿宋_GB2312"/>
                <w:color w:val="auto"/>
                <w:kern w:val="0"/>
                <w:sz w:val="24"/>
                <w:szCs w:val="21"/>
              </w:rPr>
              <w:t>~0.95</w:t>
            </w:r>
          </w:p>
        </w:tc>
      </w:tr>
    </w:tbl>
    <w:p>
      <w:pPr>
        <w:adjustRightInd w:val="0"/>
        <w:snapToGrid w:val="0"/>
        <w:spacing w:line="264" w:lineRule="auto"/>
        <w:ind w:firstLine="420" w:firstLineChars="200"/>
        <w:rPr>
          <w:rFonts w:eastAsia="仿宋_GB2312"/>
          <w:b/>
          <w:color w:val="auto"/>
          <w:sz w:val="28"/>
        </w:rPr>
      </w:pPr>
      <w:r>
        <w:rPr>
          <w:rFonts w:eastAsia="仿宋_GB2312"/>
          <w:color w:val="auto"/>
          <w:szCs w:val="21"/>
        </w:rPr>
        <w:t>注：确定临路条件及对应修正系数时，应根据主、次干线、分支线路等道路情况、所临道路与同级别同类型道路对比情况等，酌情选用上限值、中间值或下限值，并在评估技术报告中做相应说明。</w:t>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②其他个别因素修正</w:t>
      </w:r>
    </w:p>
    <w:p>
      <w:pPr>
        <w:keepNext/>
        <w:keepLines/>
        <w:adjustRightInd w:val="0"/>
        <w:snapToGrid w:val="0"/>
        <w:spacing w:line="312"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其他个别因素修正系数（Kg）的计算公式为：</w:t>
      </w:r>
    </w:p>
    <w:p>
      <w:pPr>
        <w:adjustRightInd w:val="0"/>
        <w:snapToGrid w:val="0"/>
        <w:spacing w:line="312" w:lineRule="auto"/>
        <w:ind w:firstLine="281" w:firstLineChars="100"/>
        <w:jc w:val="center"/>
        <w:rPr>
          <w:rFonts w:eastAsia="仿宋_GB2312"/>
          <w:b/>
          <w:i/>
          <w:color w:val="auto"/>
          <w:sz w:val="28"/>
        </w:rPr>
      </w:pPr>
      <w:r>
        <w:rPr>
          <w:rFonts w:eastAsia="仿宋_GB2312"/>
          <w:b/>
          <w:i/>
          <w:color w:val="auto"/>
          <w:sz w:val="28"/>
        </w:rPr>
        <w:t>K</w:t>
      </w:r>
      <w:r>
        <w:rPr>
          <w:rFonts w:eastAsia="仿宋_GB2312"/>
          <w:b/>
          <w:i/>
          <w:color w:val="auto"/>
          <w:sz w:val="28"/>
          <w:vertAlign w:val="subscript"/>
        </w:rPr>
        <w:t>g</w:t>
      </w:r>
      <w:r>
        <w:rPr>
          <w:rFonts w:eastAsia="仿宋_GB2312"/>
          <w:b/>
          <w:i/>
          <w:color w:val="auto"/>
          <w:sz w:val="28"/>
        </w:rPr>
        <w:t>=∏（1+K</w:t>
      </w:r>
      <w:r>
        <w:rPr>
          <w:rFonts w:eastAsia="仿宋_GB2312"/>
          <w:b/>
          <w:i/>
          <w:color w:val="auto"/>
          <w:sz w:val="28"/>
          <w:vertAlign w:val="subscript"/>
        </w:rPr>
        <w:t>gi</w:t>
      </w:r>
      <w:r>
        <w:rPr>
          <w:rFonts w:eastAsia="仿宋_GB2312"/>
          <w:b/>
          <w:i/>
          <w:color w:val="auto"/>
          <w:sz w:val="28"/>
        </w:rPr>
        <w:t>）</w:t>
      </w:r>
    </w:p>
    <w:p>
      <w:pPr>
        <w:keepNext/>
        <w:adjustRightInd w:val="0"/>
        <w:snapToGrid w:val="0"/>
        <w:spacing w:line="312" w:lineRule="auto"/>
        <w:ind w:firstLine="420"/>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4-6-10  </w:t>
      </w:r>
      <w:r>
        <w:rPr>
          <w:rFonts w:eastAsia="仿宋_GB2312"/>
          <w:b/>
          <w:color w:val="auto"/>
          <w:sz w:val="24"/>
        </w:rPr>
        <w:t>公用设施用地个别因素修正系数表</w:t>
      </w:r>
    </w:p>
    <w:tbl>
      <w:tblPr>
        <w:tblStyle w:val="88"/>
        <w:tblW w:w="4931" w:type="pct"/>
        <w:jc w:val="center"/>
        <w:tblLayout w:type="autofit"/>
        <w:tblCellMar>
          <w:top w:w="0" w:type="dxa"/>
          <w:left w:w="108" w:type="dxa"/>
          <w:bottom w:w="0" w:type="dxa"/>
          <w:right w:w="108" w:type="dxa"/>
        </w:tblCellMar>
      </w:tblPr>
      <w:tblGrid>
        <w:gridCol w:w="1369"/>
        <w:gridCol w:w="1593"/>
        <w:gridCol w:w="1468"/>
        <w:gridCol w:w="1525"/>
        <w:gridCol w:w="1468"/>
        <w:gridCol w:w="1513"/>
      </w:tblGrid>
      <w:tr>
        <w:tblPrEx>
          <w:tblCellMar>
            <w:top w:w="0" w:type="dxa"/>
            <w:left w:w="108" w:type="dxa"/>
            <w:bottom w:w="0" w:type="dxa"/>
            <w:right w:w="108" w:type="dxa"/>
          </w:tblCellMar>
        </w:tblPrEx>
        <w:trPr>
          <w:trHeight w:val="407" w:hRule="atLeast"/>
          <w:tblHeader/>
          <w:jc w:val="center"/>
        </w:trPr>
        <w:tc>
          <w:tcPr>
            <w:tcW w:w="766" w:type="pct"/>
            <w:vMerge w:val="restart"/>
            <w:tcBorders>
              <w:top w:val="single" w:color="auto" w:sz="4" w:space="0"/>
              <w:left w:val="single" w:color="auto" w:sz="4" w:space="0"/>
              <w:bottom w:val="single" w:color="auto" w:sz="4" w:space="0"/>
              <w:right w:val="single" w:color="auto" w:sz="4" w:space="0"/>
              <w:tl2br w:val="single" w:color="auto" w:sz="4" w:space="0"/>
            </w:tcBorders>
            <w:shd w:val="clear" w:color="auto" w:fill="FFFFFF"/>
            <w:noWrap/>
            <w:vAlign w:val="center"/>
          </w:tcPr>
          <w:p>
            <w:pPr>
              <w:adjustRightInd w:val="0"/>
              <w:snapToGrid w:val="0"/>
              <w:spacing w:line="240" w:lineRule="atLeast"/>
              <w:jc w:val="right"/>
              <w:rPr>
                <w:rFonts w:eastAsia="仿宋_GB2312"/>
                <w:b/>
                <w:bCs/>
                <w:color w:val="auto"/>
                <w:kern w:val="0"/>
                <w:sz w:val="24"/>
              </w:rPr>
            </w:pPr>
            <w:r>
              <w:rPr>
                <w:rFonts w:eastAsia="仿宋_GB2312"/>
                <w:b/>
                <w:bCs/>
                <w:color w:val="auto"/>
                <w:kern w:val="0"/>
                <w:sz w:val="24"/>
              </w:rPr>
              <w:t>优劣度</w:t>
            </w:r>
          </w:p>
          <w:p>
            <w:pPr>
              <w:adjustRightInd w:val="0"/>
              <w:snapToGrid w:val="0"/>
              <w:spacing w:line="240" w:lineRule="atLeast"/>
              <w:rPr>
                <w:rFonts w:eastAsia="仿宋_GB2312"/>
                <w:b/>
                <w:bCs/>
                <w:color w:val="auto"/>
                <w:kern w:val="0"/>
                <w:sz w:val="24"/>
              </w:rPr>
            </w:pPr>
            <w:r>
              <w:rPr>
                <w:rFonts w:eastAsia="仿宋_GB2312"/>
                <w:b/>
                <w:bCs/>
                <w:color w:val="auto"/>
                <w:kern w:val="0"/>
                <w:sz w:val="24"/>
              </w:rPr>
              <w:t>因素</w:t>
            </w:r>
          </w:p>
        </w:tc>
        <w:tc>
          <w:tcPr>
            <w:tcW w:w="891"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优</w:t>
            </w:r>
          </w:p>
        </w:tc>
        <w:tc>
          <w:tcPr>
            <w:tcW w:w="821"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较优</w:t>
            </w:r>
          </w:p>
        </w:tc>
        <w:tc>
          <w:tcPr>
            <w:tcW w:w="85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一般</w:t>
            </w:r>
          </w:p>
        </w:tc>
        <w:tc>
          <w:tcPr>
            <w:tcW w:w="821"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较劣</w:t>
            </w:r>
          </w:p>
        </w:tc>
        <w:tc>
          <w:tcPr>
            <w:tcW w:w="84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劣</w:t>
            </w:r>
          </w:p>
        </w:tc>
      </w:tr>
      <w:tr>
        <w:tblPrEx>
          <w:tblCellMar>
            <w:top w:w="0" w:type="dxa"/>
            <w:left w:w="108" w:type="dxa"/>
            <w:bottom w:w="0" w:type="dxa"/>
            <w:right w:w="108" w:type="dxa"/>
          </w:tblCellMar>
        </w:tblPrEx>
        <w:trPr>
          <w:trHeight w:val="315" w:hRule="atLeast"/>
          <w:tblHeader/>
          <w:jc w:val="center"/>
        </w:trPr>
        <w:tc>
          <w:tcPr>
            <w:tcW w:w="766"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c>
          <w:tcPr>
            <w:tcW w:w="891"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c>
          <w:tcPr>
            <w:tcW w:w="821"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c>
          <w:tcPr>
            <w:tcW w:w="853"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c>
          <w:tcPr>
            <w:tcW w:w="821"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c>
          <w:tcPr>
            <w:tcW w:w="846"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tLeast"/>
              <w:jc w:val="left"/>
              <w:rPr>
                <w:rFonts w:eastAsia="仿宋_GB2312"/>
                <w:b/>
                <w:bCs/>
                <w:color w:val="auto"/>
                <w:kern w:val="0"/>
                <w:sz w:val="24"/>
              </w:rPr>
            </w:pPr>
          </w:p>
        </w:tc>
      </w:tr>
      <w:tr>
        <w:tblPrEx>
          <w:tblCellMar>
            <w:top w:w="0" w:type="dxa"/>
            <w:left w:w="108" w:type="dxa"/>
            <w:bottom w:w="0" w:type="dxa"/>
            <w:right w:w="108" w:type="dxa"/>
          </w:tblCellMar>
        </w:tblPrEx>
        <w:trPr>
          <w:trHeight w:val="1039"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宗地形状</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形状规则，利于布局</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形状较规则，较利于布局</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形状一般，不影响布局</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形状不规则，对布局有一定影响</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形状不规则，较难布局</w:t>
            </w:r>
          </w:p>
        </w:tc>
      </w:tr>
      <w:tr>
        <w:tblPrEx>
          <w:tblCellMar>
            <w:top w:w="0" w:type="dxa"/>
            <w:left w:w="108" w:type="dxa"/>
            <w:bottom w:w="0" w:type="dxa"/>
            <w:right w:w="108" w:type="dxa"/>
          </w:tblCellMar>
        </w:tblPrEx>
        <w:trPr>
          <w:trHeight w:val="353"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修正系数</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0.02</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trHeight w:val="696"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宗地地质</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地质条件优</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地质条件较优</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地质条件优一般</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地质条件较差</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地质条件差</w:t>
            </w:r>
          </w:p>
        </w:tc>
      </w:tr>
      <w:tr>
        <w:tblPrEx>
          <w:tblCellMar>
            <w:top w:w="0" w:type="dxa"/>
            <w:left w:w="108" w:type="dxa"/>
            <w:bottom w:w="0" w:type="dxa"/>
            <w:right w:w="108" w:type="dxa"/>
          </w:tblCellMar>
        </w:tblPrEx>
        <w:trPr>
          <w:trHeight w:val="353"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b/>
                <w:bCs/>
                <w:color w:val="auto"/>
                <w:kern w:val="0"/>
                <w:sz w:val="24"/>
              </w:rPr>
            </w:pPr>
            <w:r>
              <w:rPr>
                <w:rFonts w:eastAsia="仿宋_GB2312"/>
                <w:b/>
                <w:bCs/>
                <w:color w:val="auto"/>
                <w:kern w:val="0"/>
                <w:sz w:val="24"/>
              </w:rPr>
              <w:t>修正系数</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0.02</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0</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trHeight w:val="1382"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b/>
                <w:bCs/>
                <w:color w:val="auto"/>
                <w:kern w:val="0"/>
                <w:sz w:val="24"/>
              </w:rPr>
            </w:pPr>
            <w:r>
              <w:rPr>
                <w:rFonts w:eastAsia="仿宋_GB2312"/>
                <w:b/>
                <w:bCs/>
                <w:color w:val="auto"/>
                <w:kern w:val="0"/>
                <w:sz w:val="24"/>
              </w:rPr>
              <w:t>宗地地势</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地势平坦</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地势较平坦，坡度&lt;2%，对建筑无影响</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地势较平坦，坡度&lt;5%，对建筑影响较小</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地势不太平坦，需考虑坡度的影响</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keepLines/>
              <w:adjustRightInd w:val="0"/>
              <w:snapToGrid w:val="0"/>
              <w:spacing w:line="240" w:lineRule="atLeast"/>
              <w:jc w:val="center"/>
              <w:rPr>
                <w:rFonts w:eastAsia="仿宋_GB2312"/>
                <w:color w:val="auto"/>
                <w:kern w:val="0"/>
                <w:sz w:val="24"/>
              </w:rPr>
            </w:pPr>
            <w:r>
              <w:rPr>
                <w:rFonts w:eastAsia="仿宋_GB2312"/>
                <w:color w:val="auto"/>
                <w:kern w:val="0"/>
                <w:sz w:val="24"/>
              </w:rPr>
              <w:t>地势很不平坦，需经过平整才能使用</w:t>
            </w:r>
          </w:p>
        </w:tc>
      </w:tr>
      <w:tr>
        <w:tblPrEx>
          <w:tblCellMar>
            <w:top w:w="0" w:type="dxa"/>
            <w:left w:w="108" w:type="dxa"/>
            <w:bottom w:w="0" w:type="dxa"/>
            <w:right w:w="108" w:type="dxa"/>
          </w:tblCellMar>
        </w:tblPrEx>
        <w:trPr>
          <w:trHeight w:val="353"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修正系数</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0.02</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-0.03</w:t>
            </w:r>
          </w:p>
        </w:tc>
      </w:tr>
      <w:tr>
        <w:tblPrEx>
          <w:tblCellMar>
            <w:top w:w="0" w:type="dxa"/>
            <w:left w:w="108" w:type="dxa"/>
            <w:bottom w:w="0" w:type="dxa"/>
            <w:right w:w="108" w:type="dxa"/>
          </w:tblCellMar>
        </w:tblPrEx>
        <w:trPr>
          <w:trHeight w:val="1382"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宗地面积</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面积适中，对土地利用极为有利</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面积对土地利用较为有利</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面积对土地利用无不良影响</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面积较小，对土地利用有一定影响</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面积过小，对土地利用产生严重影响</w:t>
            </w:r>
          </w:p>
        </w:tc>
      </w:tr>
      <w:tr>
        <w:tblPrEx>
          <w:tblCellMar>
            <w:top w:w="0" w:type="dxa"/>
            <w:left w:w="108" w:type="dxa"/>
            <w:bottom w:w="0" w:type="dxa"/>
            <w:right w:w="108" w:type="dxa"/>
          </w:tblCellMar>
        </w:tblPrEx>
        <w:trPr>
          <w:trHeight w:val="364" w:hRule="atLeast"/>
          <w:jc w:val="center"/>
        </w:trPr>
        <w:tc>
          <w:tcPr>
            <w:tcW w:w="76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b/>
                <w:bCs/>
                <w:color w:val="auto"/>
                <w:kern w:val="0"/>
                <w:sz w:val="24"/>
              </w:rPr>
            </w:pPr>
            <w:r>
              <w:rPr>
                <w:rFonts w:eastAsia="仿宋_GB2312"/>
                <w:b/>
                <w:bCs/>
                <w:color w:val="auto"/>
                <w:kern w:val="0"/>
                <w:sz w:val="24"/>
              </w:rPr>
              <w:t>修正系数</w:t>
            </w:r>
          </w:p>
        </w:tc>
        <w:tc>
          <w:tcPr>
            <w:tcW w:w="89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0.02</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53"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w:t>
            </w:r>
          </w:p>
        </w:tc>
        <w:tc>
          <w:tcPr>
            <w:tcW w:w="821"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-0.01</w:t>
            </w:r>
          </w:p>
        </w:tc>
        <w:tc>
          <w:tcPr>
            <w:tcW w:w="846" w:type="pc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line="240" w:lineRule="atLeast"/>
              <w:jc w:val="center"/>
              <w:rPr>
                <w:rFonts w:eastAsia="仿宋_GB2312"/>
                <w:color w:val="auto"/>
                <w:kern w:val="0"/>
                <w:sz w:val="24"/>
              </w:rPr>
            </w:pPr>
            <w:r>
              <w:rPr>
                <w:rFonts w:eastAsia="仿宋_GB2312"/>
                <w:color w:val="auto"/>
                <w:kern w:val="0"/>
                <w:sz w:val="24"/>
              </w:rPr>
              <w:t>-0.03</w:t>
            </w:r>
          </w:p>
        </w:tc>
      </w:tr>
    </w:tbl>
    <w:p>
      <w:pPr>
        <w:adjustRightInd w:val="0"/>
        <w:snapToGrid w:val="0"/>
        <w:spacing w:line="312" w:lineRule="auto"/>
        <w:jc w:val="both"/>
        <w:rPr>
          <w:rFonts w:eastAsia="仿宋_GB2312"/>
          <w:b/>
          <w:i/>
          <w:color w:val="auto"/>
          <w:sz w:val="28"/>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3"/>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（4）土地开发程度修正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新兴县公用设施用地基准地价为“五通一平（宗地红线外通路、通电、通上水、通下水、通讯，宗地红线内场地平整）”土地开发程度下的熟地价格。当运用基准地价法进行宗地评估时，若宗地未达到或超过基准地价设定开发程度时，应酌情扣除或增加相应开发费用。</w:t>
      </w:r>
    </w:p>
    <w:p>
      <w:pPr>
        <w:keepNext/>
        <w:adjustRightInd w:val="0"/>
        <w:snapToGrid w:val="0"/>
        <w:jc w:val="center"/>
        <w:rPr>
          <w:rFonts w:eastAsia="仿宋_GB2312"/>
          <w:b/>
          <w:color w:val="auto"/>
          <w:sz w:val="24"/>
        </w:rPr>
      </w:pPr>
      <w:r>
        <w:rPr>
          <w:rFonts w:eastAsia="仿宋_GB2312"/>
          <w:b/>
          <w:bCs/>
          <w:color w:val="auto"/>
          <w:sz w:val="24"/>
        </w:rPr>
        <w:t>表</w:t>
      </w:r>
      <w:r>
        <w:rPr>
          <w:rFonts w:hint="eastAsia" w:eastAsia="仿宋_GB2312"/>
          <w:b/>
          <w:bCs/>
          <w:color w:val="auto"/>
          <w:sz w:val="24"/>
        </w:rPr>
        <w:t xml:space="preserve">4-6-11 </w:t>
      </w:r>
      <w:r>
        <w:rPr>
          <w:rFonts w:eastAsia="仿宋_GB2312"/>
          <w:b/>
          <w:color w:val="auto"/>
          <w:sz w:val="24"/>
        </w:rPr>
        <w:t xml:space="preserve"> 土地开发程度修正值表</w:t>
      </w:r>
    </w:p>
    <w:p>
      <w:pPr>
        <w:keepNext/>
        <w:adjustRightInd w:val="0"/>
        <w:snapToGrid w:val="0"/>
        <w:jc w:val="right"/>
        <w:rPr>
          <w:rFonts w:eastAsia="仿宋_GB2312"/>
          <w:color w:val="auto"/>
        </w:rPr>
      </w:pPr>
      <w:r>
        <w:rPr>
          <w:rFonts w:eastAsia="仿宋_GB2312"/>
          <w:color w:val="auto"/>
        </w:rPr>
        <w:t>单位：元/平方米</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1767"/>
        <w:gridCol w:w="1781"/>
        <w:gridCol w:w="1865"/>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通路</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通电</w:t>
            </w:r>
          </w:p>
        </w:tc>
        <w:tc>
          <w:tcPr>
            <w:tcW w:w="1029"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通上水</w:t>
            </w:r>
          </w:p>
        </w:tc>
        <w:tc>
          <w:tcPr>
            <w:tcW w:w="983"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通下水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30~70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30~50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20~30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开发程度</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通讯</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通燃气</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场地平整</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b/>
                <w:bCs/>
                <w:color w:val="auto"/>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28" w:type="pct"/>
            <w:vAlign w:val="center"/>
          </w:tcPr>
          <w:p>
            <w:pPr>
              <w:widowControl/>
              <w:adjustRightInd w:val="0"/>
              <w:snapToGrid w:val="0"/>
              <w:spacing w:line="240" w:lineRule="atLeast"/>
              <w:jc w:val="center"/>
              <w:rPr>
                <w:rFonts w:eastAsia="仿宋_GB2312"/>
                <w:b/>
                <w:bCs/>
                <w:color w:val="auto"/>
                <w:kern w:val="0"/>
                <w:sz w:val="24"/>
              </w:rPr>
            </w:pPr>
            <w:r>
              <w:rPr>
                <w:rFonts w:eastAsia="仿宋_GB2312"/>
                <w:b/>
                <w:bCs/>
                <w:color w:val="auto"/>
                <w:kern w:val="0"/>
                <w:sz w:val="24"/>
              </w:rPr>
              <w:t>开发费</w:t>
            </w:r>
          </w:p>
        </w:tc>
        <w:tc>
          <w:tcPr>
            <w:tcW w:w="975"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10~20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10~30</w:t>
            </w:r>
          </w:p>
        </w:tc>
        <w:tc>
          <w:tcPr>
            <w:tcW w:w="1029"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30~</w:t>
            </w:r>
            <w:r>
              <w:rPr>
                <w:rFonts w:hint="eastAsia" w:eastAsia="仿宋_GB2312"/>
                <w:color w:val="auto"/>
                <w:kern w:val="0"/>
                <w:sz w:val="24"/>
              </w:rPr>
              <w:t>100</w:t>
            </w:r>
          </w:p>
        </w:tc>
        <w:tc>
          <w:tcPr>
            <w:tcW w:w="983" w:type="pct"/>
            <w:vAlign w:val="center"/>
          </w:tcPr>
          <w:p>
            <w:pPr>
              <w:widowControl/>
              <w:adjustRightInd w:val="0"/>
              <w:snapToGrid w:val="0"/>
              <w:spacing w:line="240" w:lineRule="atLeast"/>
              <w:jc w:val="center"/>
              <w:rPr>
                <w:rFonts w:eastAsia="仿宋_GB2312"/>
                <w:color w:val="auto"/>
                <w:kern w:val="0"/>
                <w:sz w:val="24"/>
              </w:rPr>
            </w:pPr>
            <w:r>
              <w:rPr>
                <w:rFonts w:eastAsia="仿宋_GB2312"/>
                <w:color w:val="auto"/>
                <w:kern w:val="0"/>
                <w:sz w:val="24"/>
              </w:rPr>
              <w:t>140~</w:t>
            </w:r>
            <w:r>
              <w:rPr>
                <w:rFonts w:hint="eastAsia" w:eastAsia="仿宋_GB2312"/>
                <w:color w:val="auto"/>
                <w:kern w:val="0"/>
                <w:sz w:val="24"/>
              </w:rPr>
              <w:t>330</w:t>
            </w:r>
          </w:p>
        </w:tc>
      </w:tr>
    </w:tbl>
    <w:p>
      <w:pPr>
        <w:adjustRightInd w:val="0"/>
        <w:snapToGrid w:val="0"/>
        <w:spacing w:before="78" w:beforeLines="25" w:line="300" w:lineRule="auto"/>
        <w:ind w:firstLine="420" w:firstLineChars="200"/>
        <w:rPr>
          <w:rFonts w:hint="eastAsia" w:eastAsia="仿宋_GB2312"/>
          <w:color w:val="auto"/>
          <w:szCs w:val="21"/>
          <w:lang w:eastAsia="zh-CN"/>
        </w:rPr>
      </w:pPr>
      <w:r>
        <w:rPr>
          <w:rFonts w:eastAsia="仿宋_GB2312"/>
          <w:color w:val="auto"/>
          <w:szCs w:val="21"/>
        </w:rPr>
        <w:t>注：①通路、通电、</w:t>
      </w:r>
      <w:r>
        <w:rPr>
          <w:rFonts w:hint="eastAsia" w:eastAsia="仿宋_GB2312"/>
          <w:color w:val="auto"/>
          <w:szCs w:val="21"/>
        </w:rPr>
        <w:t>通上水</w:t>
      </w:r>
      <w:r>
        <w:rPr>
          <w:rFonts w:eastAsia="仿宋_GB2312"/>
          <w:color w:val="auto"/>
          <w:szCs w:val="21"/>
        </w:rPr>
        <w:t>、</w:t>
      </w:r>
      <w:r>
        <w:rPr>
          <w:rFonts w:hint="eastAsia" w:eastAsia="仿宋_GB2312"/>
          <w:color w:val="auto"/>
          <w:szCs w:val="21"/>
        </w:rPr>
        <w:t>通下水</w:t>
      </w:r>
      <w:r>
        <w:rPr>
          <w:rFonts w:eastAsia="仿宋_GB2312"/>
          <w:color w:val="auto"/>
          <w:szCs w:val="21"/>
        </w:rPr>
        <w:t>、通讯等分项开发费用，应按主干线、次干线、分支线路等不同酌情选用上限值、中间值或下限值</w:t>
      </w:r>
      <w:r>
        <w:rPr>
          <w:rFonts w:hint="eastAsia" w:eastAsia="仿宋_GB2312"/>
          <w:color w:val="auto"/>
          <w:szCs w:val="21"/>
          <w:lang w:eastAsia="zh-CN"/>
        </w:rPr>
        <w:t>。</w:t>
      </w:r>
    </w:p>
    <w:p>
      <w:pPr>
        <w:adjustRightInd w:val="0"/>
        <w:snapToGrid w:val="0"/>
        <w:spacing w:before="78" w:beforeLines="25" w:line="300" w:lineRule="auto"/>
        <w:ind w:firstLine="420" w:firstLineChars="200"/>
        <w:rPr>
          <w:rFonts w:eastAsia="仿宋_GB2312"/>
          <w:color w:val="auto"/>
          <w:szCs w:val="21"/>
        </w:rPr>
      </w:pPr>
      <w:r>
        <w:rPr>
          <w:rFonts w:eastAsia="仿宋_GB2312"/>
          <w:color w:val="auto"/>
          <w:szCs w:val="21"/>
        </w:rPr>
        <w:t>②本表数据为每平方米土地的土地开发程度修正值。</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楷体_GB2312" w:hAnsi="楷体_GB2312" w:eastAsia="楷体_GB2312" w:cs="楷体_GB2312"/>
          <w:b w:val="0"/>
          <w:bCs/>
          <w:color w:val="auto"/>
          <w:sz w:val="32"/>
          <w:szCs w:val="32"/>
        </w:rPr>
      </w:pPr>
      <w:r>
        <w:rPr>
          <w:rFonts w:hint="eastAsia" w:ascii="楷体_GB2312" w:hAnsi="楷体_GB2312" w:eastAsia="楷体_GB2312" w:cs="楷体_GB2312"/>
          <w:b w:val="0"/>
          <w:bCs/>
          <w:color w:val="auto"/>
          <w:sz w:val="32"/>
          <w:szCs w:val="32"/>
        </w:rPr>
        <w:t>（七）二级用地类型修正系数</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在实际评估工作中常常会遇到除商服、住宅、工业等用地外的其他类型的用地，如特殊用地、交通运输用地、水域及水利设施用地等。</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rPr>
        <w:sectPr>
          <w:pgSz w:w="11906" w:h="16838"/>
          <w:pgMar w:top="2098" w:right="1474" w:bottom="1984" w:left="1587" w:header="851" w:footer="1417" w:gutter="0"/>
          <w:pgNumType w:fmt="decimal"/>
          <w:cols w:space="0" w:num="1"/>
          <w:rtlGutter w:val="0"/>
          <w:docGrid w:type="lines" w:linePitch="312" w:charSpace="0"/>
        </w:sectPr>
      </w:pPr>
      <w:r>
        <w:rPr>
          <w:rFonts w:hint="eastAsia" w:ascii="仿宋_GB2312" w:hAnsi="仿宋_GB2312" w:eastAsia="仿宋_GB2312" w:cs="仿宋_GB2312"/>
          <w:b w:val="0"/>
          <w:bCs/>
          <w:color w:val="auto"/>
          <w:sz w:val="32"/>
          <w:szCs w:val="32"/>
        </w:rPr>
        <w:t>新兴县二级用途土地用地类型修正系数如下表所示：</w:t>
      </w:r>
    </w:p>
    <w:p>
      <w:pPr>
        <w:rPr>
          <w:rFonts w:hint="eastAsia" w:eastAsia="黑体"/>
          <w:b/>
          <w:bCs/>
          <w:color w:val="auto"/>
          <w:kern w:val="0"/>
          <w:sz w:val="30"/>
          <w:szCs w:val="30"/>
        </w:rPr>
      </w:pPr>
      <w:bookmarkStart w:id="58" w:name="_Toc214265663"/>
    </w:p>
    <w:bookmarkEnd w:id="58"/>
    <w:p>
      <w:pPr>
        <w:keepNext/>
        <w:adjustRightInd w:val="0"/>
        <w:snapToGrid w:val="0"/>
        <w:spacing w:before="156" w:beforeLines="50" w:line="312"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表4-7-1  新兴县二级用地类型修正系数表</w:t>
      </w:r>
    </w:p>
    <w:tbl>
      <w:tblPr>
        <w:tblStyle w:val="88"/>
        <w:tblW w:w="12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1"/>
        <w:gridCol w:w="2529"/>
        <w:gridCol w:w="1161"/>
        <w:gridCol w:w="1050"/>
        <w:gridCol w:w="3489"/>
        <w:gridCol w:w="1983"/>
        <w:gridCol w:w="1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2" w:hRule="atLeast"/>
          <w:tblHeader/>
          <w:jc w:val="center"/>
        </w:trPr>
        <w:tc>
          <w:tcPr>
            <w:tcW w:w="891"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11"/>
                <w:sz w:val="24"/>
                <w:szCs w:val="24"/>
              </w:rPr>
              <w:t>一级用地</w:t>
            </w:r>
            <w:r>
              <w:rPr>
                <w:rFonts w:hint="eastAsia" w:ascii="黑体" w:hAnsi="黑体" w:eastAsia="黑体" w:cs="黑体"/>
                <w:b w:val="0"/>
                <w:bCs/>
                <w:color w:val="auto"/>
                <w:spacing w:val="0"/>
                <w:sz w:val="24"/>
                <w:szCs w:val="24"/>
              </w:rPr>
              <w:t>类别</w:t>
            </w:r>
          </w:p>
        </w:tc>
        <w:tc>
          <w:tcPr>
            <w:tcW w:w="2529"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二级用地类型</w:t>
            </w:r>
          </w:p>
        </w:tc>
        <w:tc>
          <w:tcPr>
            <w:tcW w:w="1161"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适用基准地价类型</w:t>
            </w:r>
          </w:p>
        </w:tc>
        <w:tc>
          <w:tcPr>
            <w:tcW w:w="1050"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修正</w:t>
            </w:r>
          </w:p>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系数</w:t>
            </w:r>
          </w:p>
        </w:tc>
        <w:tc>
          <w:tcPr>
            <w:tcW w:w="3489"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主要应用范围</w:t>
            </w:r>
          </w:p>
        </w:tc>
        <w:tc>
          <w:tcPr>
            <w:tcW w:w="1983"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对应城市用地</w:t>
            </w:r>
          </w:p>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分类</w:t>
            </w:r>
          </w:p>
        </w:tc>
        <w:tc>
          <w:tcPr>
            <w:tcW w:w="1803" w:type="dxa"/>
            <w:vAlign w:val="center"/>
          </w:tcPr>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对应用地用海</w:t>
            </w:r>
          </w:p>
          <w:p>
            <w:pPr>
              <w:widowControl/>
              <w:adjustRightInd w:val="0"/>
              <w:snapToGrid w:val="0"/>
              <w:spacing w:line="240" w:lineRule="auto"/>
              <w:jc w:val="center"/>
              <w:rPr>
                <w:rFonts w:hint="eastAsia" w:ascii="黑体" w:hAnsi="黑体" w:eastAsia="黑体" w:cs="黑体"/>
                <w:b w:val="0"/>
                <w:bCs/>
                <w:color w:val="auto"/>
                <w:spacing w:val="0"/>
                <w:sz w:val="24"/>
                <w:szCs w:val="24"/>
              </w:rPr>
            </w:pPr>
            <w:r>
              <w:rPr>
                <w:rFonts w:hint="eastAsia" w:ascii="黑体" w:hAnsi="黑体" w:eastAsia="黑体" w:cs="黑体"/>
                <w:b w:val="0"/>
                <w:bCs/>
                <w:color w:val="auto"/>
                <w:spacing w:val="0"/>
                <w:sz w:val="24"/>
                <w:szCs w:val="24"/>
              </w:rPr>
              <w:t>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41"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r>
              <w:rPr>
                <w:rFonts w:hint="eastAsia" w:ascii="仿宋_GB2312" w:hAnsi="仿宋_GB2312" w:eastAsia="仿宋_GB2312" w:cs="仿宋_GB2312"/>
                <w:bCs/>
                <w:color w:val="auto"/>
                <w:spacing w:val="0"/>
                <w:sz w:val="24"/>
                <w:szCs w:val="24"/>
              </w:rPr>
              <w:t>商服</w:t>
            </w:r>
          </w:p>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r>
              <w:rPr>
                <w:rFonts w:hint="eastAsia" w:ascii="仿宋_GB2312" w:hAnsi="仿宋_GB2312" w:eastAsia="仿宋_GB2312" w:cs="仿宋_GB2312"/>
                <w:bCs/>
                <w:color w:val="auto"/>
                <w:spacing w:val="0"/>
                <w:sz w:val="24"/>
                <w:szCs w:val="24"/>
              </w:rPr>
              <w:t>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6"/>
                <w:sz w:val="24"/>
                <w:szCs w:val="24"/>
              </w:rPr>
            </w:pPr>
            <w:r>
              <w:rPr>
                <w:rFonts w:hint="eastAsia" w:ascii="仿宋_GB2312" w:hAnsi="仿宋_GB2312" w:eastAsia="仿宋_GB2312" w:cs="仿宋_GB2312"/>
                <w:color w:val="auto"/>
                <w:spacing w:val="-6"/>
                <w:sz w:val="24"/>
                <w:szCs w:val="24"/>
              </w:rPr>
              <w:t>0501零售商业用地</w:t>
            </w:r>
          </w:p>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6"/>
                <w:sz w:val="24"/>
                <w:szCs w:val="24"/>
              </w:rPr>
              <w:t>（不含加油加气站）</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以零售功能为主的商铺、商场、超市、市场用地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B11零售商业用地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090101零售商业用地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2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6"/>
                <w:sz w:val="24"/>
                <w:szCs w:val="24"/>
              </w:rPr>
            </w:pPr>
            <w:r>
              <w:rPr>
                <w:rFonts w:hint="eastAsia" w:ascii="仿宋_GB2312" w:hAnsi="仿宋_GB2312" w:eastAsia="仿宋_GB2312" w:cs="仿宋_GB2312"/>
                <w:color w:val="auto"/>
                <w:spacing w:val="-6"/>
                <w:sz w:val="24"/>
                <w:szCs w:val="24"/>
              </w:rPr>
              <w:t>0501零售商业用地</w:t>
            </w:r>
          </w:p>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6"/>
                <w:sz w:val="24"/>
                <w:szCs w:val="24"/>
              </w:rPr>
              <w:t>（加油加气站）</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1.0（以地面地价为基准，且不做容积率修正）</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零售加油、加气、充换电站等的用地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B41加油加气站用地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090105公用设施营业网点用地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0502批发市场用地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以批发功能为主的市场用地（不含农产品批发市场用地、农贸市场用地等）</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B12批发市场用地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090102批发市场用地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4"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0503餐饮用地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0.8</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饭店、餐厅、酒吧等用地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B13餐饮用地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090103餐饮用地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2"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color w:val="auto"/>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0504旅馆用地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0.8</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宾馆、旅馆、招待所、服务型公寓、有住宿功能的度假村等用地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B14旅馆用地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090104旅馆用地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99"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0505商务金融用地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0.6</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金融保险、艺术传媒、研发设计、技术服务、物流管理中心等综合性办公用地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B2商务用地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0902商务金融用地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70"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商服</w:t>
            </w:r>
          </w:p>
          <w:p>
            <w:pPr>
              <w:widowControl/>
              <w:adjustRightInd w:val="0"/>
              <w:snapToGrid w:val="0"/>
              <w:spacing w:line="240" w:lineRule="auto"/>
              <w:jc w:val="center"/>
              <w:rPr>
                <w:rFonts w:hint="eastAsia" w:ascii="仿宋_GB2312" w:hAnsi="仿宋_GB2312" w:eastAsia="仿宋_GB2312" w:cs="仿宋_GB2312"/>
                <w:bCs/>
                <w:spacing w:val="0"/>
                <w:kern w:val="2"/>
                <w:sz w:val="24"/>
                <w:szCs w:val="24"/>
                <w:lang w:val="en-US" w:eastAsia="zh-CN" w:bidi="ar-SA"/>
              </w:rPr>
            </w:pPr>
            <w:r>
              <w:rPr>
                <w:rFonts w:hint="eastAsia" w:ascii="仿宋_GB2312" w:hAnsi="仿宋_GB2312" w:eastAsia="仿宋_GB2312" w:cs="仿宋_GB2312"/>
                <w:bCs/>
                <w:spacing w:val="0"/>
                <w:sz w:val="24"/>
                <w:szCs w:val="24"/>
              </w:rPr>
              <w:t>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0506娱乐用地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0.7</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指剧院、音乐厅、电影院、歌舞厅、网吧、影视城、仿古城以及绿地率小于65%的大型游乐等设施用地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B31娱乐用地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0903娱乐用地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660"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0507其他商服用地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sz w:val="24"/>
                <w:szCs w:val="24"/>
              </w:rPr>
              <w:t>上述用地以外的其他商业、服务业用地。包括洗车场、洗染店、照相馆、理发美容店、洗浴场所、赛马场、高尔夫球场、废旧物资回收站、电子产品和日用产品维修网点、物流营业网点，</w:t>
            </w:r>
            <w:r>
              <w:rPr>
                <w:rFonts w:hint="eastAsia" w:ascii="仿宋_GB2312" w:hAnsi="仿宋_GB2312" w:eastAsia="仿宋_GB2312" w:cs="仿宋_GB2312"/>
                <w:spacing w:val="-6"/>
                <w:sz w:val="24"/>
                <w:szCs w:val="24"/>
              </w:rPr>
              <w:t>以及居住小区及小区级以下的配套的服务设施等用地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B9其他服务设施用地（不含汽车维修用地）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0904其他商业服务业用地（不含汽车维修用地）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0507其他商服用地（汽车维修站）</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商服</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汽车展销及维修用地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B9其他服务设施用地（汽车维修站）</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0904其他商业服务业用地（汽车维修用地）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08" w:hRule="atLeast"/>
          <w:jc w:val="center"/>
        </w:trPr>
        <w:tc>
          <w:tcPr>
            <w:tcW w:w="891" w:type="dxa"/>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住宅</w:t>
            </w:r>
          </w:p>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0701城镇住宅用地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住宅</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城镇用于生活居住的各类房屋用地及其附属设施用地，不含配套的商业服务设施等用地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R2二类居住用地</w:t>
            </w:r>
          </w:p>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R3三类居住用地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070102二类城镇住宅用地</w:t>
            </w:r>
          </w:p>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070103三类城镇住宅用地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64"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工矿仓储用地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0601工业用地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工业</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工业生产、产品加工制造、机械和设备修理及直接为工业生产服务的附属设施用地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M工业用地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1001工业用地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19"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0602采矿用地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工业</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采矿、采石、采砂（沙）场，盐田，砖瓦窑等地面生产用地及尾矿堆放地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H5采矿用地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1002采矿用地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09"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0604仓储用地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工业</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1.2</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用于物资储备、中转的场所用地，包括物流仓储设施、配送中心、转运中心等</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W物流仓储用地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1101物流仓储用地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43"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公共管理与公共服务用地</w:t>
            </w:r>
          </w:p>
        </w:tc>
        <w:tc>
          <w:tcPr>
            <w:tcW w:w="2529"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0801机关团体用地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keepNext/>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用于党政机关、社会团体、群众自治组织等的用地</w:t>
            </w:r>
          </w:p>
        </w:tc>
        <w:tc>
          <w:tcPr>
            <w:tcW w:w="1983"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A1行政办公用地</w:t>
            </w:r>
          </w:p>
        </w:tc>
        <w:tc>
          <w:tcPr>
            <w:tcW w:w="1803"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0801机关团体用地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48"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0802新闻出版用地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用于广播电台、电视台、电影厂、报社、杂志社、通讯社、出版社等的用地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0803教育用地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keepNext w:val="0"/>
              <w:keepLines w:val="0"/>
              <w:pageBreakBefore w:val="0"/>
              <w:widowControl/>
              <w:kinsoku/>
              <w:wordWrap/>
              <w:overflowPunct/>
              <w:topLinePunct w:val="0"/>
              <w:autoSpaceDE/>
              <w:autoSpaceDN/>
              <w:bidi w:val="0"/>
              <w:adjustRightInd w:val="0"/>
              <w:snapToGrid w:val="0"/>
              <w:spacing w:line="340" w:lineRule="exact"/>
              <w:jc w:val="left"/>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指用于各类教育用地、包括高等院校、中等专业学校、中学、小学、幼儿园及其附属设施用地，聋、哑、盲人学校及工读学校用地，以及为学校配套的独立地段的学生生活用地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A3教育科研用地（不含A35科研用地）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0804教育用地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30"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公共管理与公共服务用地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0804科研用地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keepNext w:val="0"/>
              <w:keepLines w:val="0"/>
              <w:pageBreakBefore w:val="0"/>
              <w:widowControl/>
              <w:kinsoku/>
              <w:wordWrap/>
              <w:overflowPunct/>
              <w:topLinePunct w:val="0"/>
              <w:autoSpaceDE/>
              <w:autoSpaceDN/>
              <w:bidi w:val="0"/>
              <w:adjustRightInd w:val="0"/>
              <w:snapToGrid w:val="0"/>
              <w:spacing w:line="340" w:lineRule="exact"/>
              <w:jc w:val="left"/>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指独立的科研、勘察、研发、设计、检验检测、技术推广、环境评估与监测、科普等科研事业单位及其附属设施用地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A35科研用地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0802科研用地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810"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0805医疗卫生用地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keepNext w:val="0"/>
              <w:keepLines w:val="0"/>
              <w:pageBreakBefore w:val="0"/>
              <w:widowControl/>
              <w:kinsoku/>
              <w:wordWrap/>
              <w:overflowPunct/>
              <w:topLinePunct w:val="0"/>
              <w:autoSpaceDE/>
              <w:autoSpaceDN/>
              <w:bidi w:val="0"/>
              <w:adjustRightInd w:val="0"/>
              <w:snapToGrid w:val="0"/>
              <w:spacing w:line="340" w:lineRule="exact"/>
              <w:jc w:val="left"/>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医疗、保健、卫生、防疫、康复和急救设施等用地，包括综合医院、专科医院、卫生防疫用地、特殊医疗用地、其他医疗卫生用地等</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A5医疗卫生用地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0806医疗卫生用地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0806社会福利用地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为社会提供福利和慈善服务的设施及其附属设施用地，包括福利院、养老院、孤儿院等用地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A6社会福利用地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0807社会福利用地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0807文化设施用地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指图书、展览等公共文化活动设施用地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A2文化设施用地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0803文化用地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43"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0808体育用地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keepNext/>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指体育场馆和体育训练基地等用地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A4体育用地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0805体育用地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340" w:hRule="atLeast"/>
          <w:jc w:val="center"/>
        </w:trPr>
        <w:tc>
          <w:tcPr>
            <w:tcW w:w="891" w:type="dxa"/>
            <w:vMerge w:val="restart"/>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公共管理与公共服务用地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0809公用设施用地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公用设施用地</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用于城乡基础设施的用地。包括供水、排水、污水处理、供电、供热、供气、邮政、电信、消防、环卫、公用设施维修等用地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U公用设施用地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13公用设施用地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37"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0810公园与绿地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公用设施用地</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城镇、村庄内部的公园、动物园、植物园、街心花园、广场和用于休憩、美化环境及防护的绿化用地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G绿地与广场用地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14绿地与开敞空间用地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30" w:hRule="atLeast"/>
          <w:jc w:val="center"/>
        </w:trPr>
        <w:tc>
          <w:tcPr>
            <w:tcW w:w="891" w:type="dxa"/>
            <w:vMerge w:val="restart"/>
            <w:vAlign w:val="center"/>
          </w:tcPr>
          <w:p>
            <w:pPr>
              <w:keepNext/>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交通运输用地</w:t>
            </w:r>
          </w:p>
        </w:tc>
        <w:tc>
          <w:tcPr>
            <w:tcW w:w="2529"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10交通运输用地</w:t>
            </w:r>
          </w:p>
        </w:tc>
        <w:tc>
          <w:tcPr>
            <w:tcW w:w="1161" w:type="dxa"/>
            <w:vAlign w:val="center"/>
          </w:tcPr>
          <w:p>
            <w:pPr>
              <w:keepNext/>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公用设施用地</w:t>
            </w:r>
          </w:p>
        </w:tc>
        <w:tc>
          <w:tcPr>
            <w:tcW w:w="1050" w:type="dxa"/>
            <w:vAlign w:val="center"/>
          </w:tcPr>
          <w:p>
            <w:pPr>
              <w:keepNext/>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包括铁路用地、轨道交通用地、公路用地、城镇村道路用地、交通服务设施用地、农村道路、机场用地、港口码头用地、管道运输用地</w:t>
            </w:r>
          </w:p>
        </w:tc>
        <w:tc>
          <w:tcPr>
            <w:tcW w:w="1983"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S道路与交通设施用地</w:t>
            </w:r>
          </w:p>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H2区域交通设施用地</w:t>
            </w:r>
          </w:p>
        </w:tc>
        <w:tc>
          <w:tcPr>
            <w:tcW w:w="1803" w:type="dxa"/>
            <w:vAlign w:val="center"/>
          </w:tcPr>
          <w:p>
            <w:pPr>
              <w:keepNext/>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12交通运输用地（不含社会停车场用地）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 w:hRule="atLeast"/>
          <w:jc w:val="center"/>
        </w:trPr>
        <w:tc>
          <w:tcPr>
            <w:tcW w:w="891" w:type="dxa"/>
            <w:vMerge w:val="continue"/>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地上公共停车场</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23"/>
                <w:sz w:val="24"/>
                <w:szCs w:val="24"/>
              </w:rPr>
            </w:pPr>
            <w:r>
              <w:rPr>
                <w:rFonts w:hint="eastAsia" w:ascii="仿宋_GB2312" w:hAnsi="仿宋_GB2312" w:eastAsia="仿宋_GB2312" w:cs="仿宋_GB2312"/>
                <w:spacing w:val="-23"/>
                <w:sz w:val="24"/>
                <w:szCs w:val="24"/>
              </w:rPr>
              <w:t>公共管理与</w:t>
            </w:r>
          </w:p>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23"/>
                <w:sz w:val="24"/>
                <w:szCs w:val="24"/>
              </w:rPr>
              <w:t>公共</w:t>
            </w:r>
            <w:r>
              <w:rPr>
                <w:rFonts w:hint="eastAsia" w:ascii="仿宋_GB2312" w:hAnsi="仿宋_GB2312" w:eastAsia="仿宋_GB2312" w:cs="仿宋_GB2312"/>
                <w:spacing w:val="0"/>
                <w:sz w:val="24"/>
                <w:szCs w:val="24"/>
              </w:rPr>
              <w:t>服务</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1.0</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经营性地上公共停车场和停车库用地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R21住宅用地中附属（地上）停车场用地</w:t>
            </w:r>
          </w:p>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S42社会停车场用地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120803社会停车场用地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52" w:hRule="atLeast"/>
          <w:jc w:val="center"/>
        </w:trPr>
        <w:tc>
          <w:tcPr>
            <w:tcW w:w="891" w:type="dxa"/>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特殊</w:t>
            </w:r>
          </w:p>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0905殡葬用地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公用设施用地</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1.5</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陵园、墓地、殡葬场所用地</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H3区域公用设施用地（殡葬设施）</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1506殡葬用地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18" w:hRule="atLeast"/>
          <w:jc w:val="center"/>
        </w:trPr>
        <w:tc>
          <w:tcPr>
            <w:tcW w:w="891" w:type="dxa"/>
            <w:vAlign w:val="center"/>
          </w:tcPr>
          <w:p>
            <w:pPr>
              <w:widowControl/>
              <w:adjustRightInd w:val="0"/>
              <w:snapToGrid w:val="0"/>
              <w:spacing w:line="240" w:lineRule="auto"/>
              <w:jc w:val="center"/>
              <w:rPr>
                <w:rFonts w:hint="eastAsia" w:ascii="仿宋_GB2312" w:hAnsi="仿宋_GB2312" w:eastAsia="仿宋_GB2312" w:cs="仿宋_GB2312"/>
                <w:bCs/>
                <w:spacing w:val="0"/>
                <w:sz w:val="24"/>
                <w:szCs w:val="24"/>
              </w:rPr>
            </w:pPr>
            <w:r>
              <w:rPr>
                <w:rFonts w:hint="eastAsia" w:ascii="仿宋_GB2312" w:hAnsi="仿宋_GB2312" w:eastAsia="仿宋_GB2312" w:cs="仿宋_GB2312"/>
                <w:bCs/>
                <w:spacing w:val="0"/>
                <w:sz w:val="24"/>
                <w:szCs w:val="24"/>
              </w:rPr>
              <w:t>特殊</w:t>
            </w:r>
          </w:p>
          <w:p>
            <w:pPr>
              <w:widowControl/>
              <w:adjustRightInd w:val="0"/>
              <w:snapToGrid w:val="0"/>
              <w:spacing w:line="240" w:lineRule="auto"/>
              <w:jc w:val="center"/>
              <w:rPr>
                <w:rFonts w:hint="eastAsia" w:ascii="仿宋_GB2312" w:hAnsi="仿宋_GB2312" w:eastAsia="仿宋_GB2312" w:cs="仿宋_GB2312"/>
                <w:bCs/>
                <w:spacing w:val="0"/>
                <w:kern w:val="2"/>
                <w:sz w:val="24"/>
                <w:szCs w:val="24"/>
                <w:lang w:val="en-US" w:eastAsia="zh-CN" w:bidi="ar-SA"/>
              </w:rPr>
            </w:pPr>
            <w:r>
              <w:rPr>
                <w:rFonts w:hint="eastAsia" w:ascii="仿宋_GB2312" w:hAnsi="仿宋_GB2312" w:eastAsia="仿宋_GB2312" w:cs="仿宋_GB2312"/>
                <w:bCs/>
                <w:spacing w:val="0"/>
                <w:sz w:val="24"/>
                <w:szCs w:val="24"/>
              </w:rPr>
              <w:t>用地</w:t>
            </w:r>
          </w:p>
        </w:tc>
        <w:tc>
          <w:tcPr>
            <w:tcW w:w="252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0906风景名胜设施用地</w:t>
            </w:r>
          </w:p>
        </w:tc>
        <w:tc>
          <w:tcPr>
            <w:tcW w:w="1161"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公用设施用地</w:t>
            </w:r>
          </w:p>
        </w:tc>
        <w:tc>
          <w:tcPr>
            <w:tcW w:w="1050" w:type="dxa"/>
            <w:vAlign w:val="center"/>
          </w:tcPr>
          <w:p>
            <w:pPr>
              <w:widowControl/>
              <w:adjustRightInd w:val="0"/>
              <w:snapToGrid w:val="0"/>
              <w:spacing w:line="240" w:lineRule="auto"/>
              <w:jc w:val="center"/>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0.8</w:t>
            </w:r>
          </w:p>
        </w:tc>
        <w:tc>
          <w:tcPr>
            <w:tcW w:w="3489"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风景名胜（包括名胜古迹、旅游景点、革命遗址等）景点及管理机构的建筑用地。景区内的其他用地按现状归入相应地类</w:t>
            </w:r>
          </w:p>
        </w:tc>
        <w:tc>
          <w:tcPr>
            <w:tcW w:w="198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H9其他建设用地（风景名胜区）</w:t>
            </w:r>
          </w:p>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A7文物古迹用地</w:t>
            </w:r>
          </w:p>
        </w:tc>
        <w:tc>
          <w:tcPr>
            <w:tcW w:w="1803" w:type="dxa"/>
            <w:vAlign w:val="center"/>
          </w:tcPr>
          <w:p>
            <w:pPr>
              <w:widowControl/>
              <w:adjustRightInd w:val="0"/>
              <w:snapToGrid w:val="0"/>
              <w:spacing w:line="240" w:lineRule="auto"/>
              <w:jc w:val="left"/>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1504文物古迹用地</w:t>
            </w:r>
          </w:p>
        </w:tc>
      </w:tr>
    </w:tbl>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注：①本表用地类型划分主要参考《土地利用现状分类》（GB/T 21010</w:t>
      </w:r>
      <w:r>
        <w:rPr>
          <w:rFonts w:hint="eastAsia" w:ascii="仿宋_GB2312" w:hAnsi="仿宋_GB2312" w:eastAsia="仿宋_GB2312" w:cs="仿宋_GB2312"/>
          <w:lang w:eastAsia="zh-CN"/>
        </w:rPr>
        <w:t>—</w:t>
      </w:r>
      <w:r>
        <w:rPr>
          <w:rFonts w:hint="eastAsia" w:ascii="仿宋_GB2312" w:hAnsi="仿宋_GB2312" w:eastAsia="仿宋_GB2312" w:cs="仿宋_GB2312"/>
        </w:rPr>
        <w:t>2017）中二级类用地</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②同时适用表中所列用地类型中的两种或两种以上时，根据针对性原则确定其中一个或按比例分摊，不得重复修正</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③根据《广东省发展改革委关于进一步明确我省优先发展产业的通知》（粤发改产业函〔2019〕397号），符合本通知明确的优先发展产业范围，且用地集约（容积率和建筑系数超过国家规定标准40%、投资强度增加10%以上）的固定资产投资项目，土地出让底价可按不低于所在地土地等别对应工业用地最低价标准的70%执行。</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④根据《自然资源部关于加强自然资源要素保障促进现代物流高质量发展的通知》（自然资发〔2024〕218号），农产品批发市场（含交易设施和必要的附属设施）作为经营性商业用地，可以参考所在区域工业用地市场地价水平、基准地价等确定出让底价。物流项目配套行政办公、生活服务设施用地所占比重，参照执行现行工业项目有关规定。</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⑤根据《国务院办公厅关于促进物流业健康发展政策措施的意见》（国办发〔2011〕38号），农产品批发市场用地作为经营性商业用地，应严格按照规划合理布局，土地招拍挂出让前，所在区域有工业用地交易地价的，可以参照市场地价水平、所在区域基准地价和工业用地最低价标准等确定出让底价，土地出让后严禁擅自改变用途从事商业性房地产开发，确需改变用途、性质或者进行转让的，应当符合土地利用总体规划并经依法批准。</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⑥城市用地分类按《城市用地分类与规划建设用地标准》（GB50137</w:t>
      </w:r>
      <w:r>
        <w:rPr>
          <w:rFonts w:hint="eastAsia" w:ascii="仿宋_GB2312" w:hAnsi="仿宋_GB2312" w:eastAsia="仿宋_GB2312" w:cs="仿宋_GB2312"/>
          <w:lang w:eastAsia="zh-CN"/>
        </w:rPr>
        <w:t>—</w:t>
      </w:r>
      <w:r>
        <w:rPr>
          <w:rFonts w:hint="eastAsia" w:ascii="仿宋_GB2312" w:hAnsi="仿宋_GB2312" w:eastAsia="仿宋_GB2312" w:cs="仿宋_GB2312"/>
        </w:rPr>
        <w:t>2011），各用地类型对应城市用地分类仅供参考</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⑦用地用海分类按《国土空间调查、规划、用途管制用地用海分类指南》（自然资发〔2023〕234号），各用地类型对应城市用地分类仅供参考</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⑧凡是不在以上范围内的其他用地应按程序评估加以确定。</w:t>
      </w:r>
      <w:bookmarkEnd w:id="0"/>
      <w:bookmarkEnd w:id="1"/>
      <w:bookmarkEnd w:id="2"/>
      <w:bookmarkEnd w:id="3"/>
      <w:bookmarkEnd w:id="4"/>
      <w:bookmarkEnd w:id="5"/>
      <w:bookmarkEnd w:id="6"/>
      <w:bookmarkEnd w:id="7"/>
      <w:bookmarkEnd w:id="8"/>
      <w:bookmarkEnd w:id="9"/>
      <w:bookmarkEnd w:id="10"/>
      <w:bookmarkEnd w:id="11"/>
    </w:p>
    <w:sectPr>
      <w:pgSz w:w="16838" w:h="11906" w:orient="landscape"/>
      <w:pgMar w:top="1587" w:right="2098" w:bottom="1474" w:left="1984" w:header="851" w:footer="1417" w:gutter="0"/>
      <w:pgNumType w:fmt="decimal"/>
      <w:cols w:space="0" w:num="1"/>
      <w:rtlGutter w:val="0"/>
      <w:docGrid w:type="lines" w:linePitch="3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华文宋体">
    <w:altName w:val="方正书宋_GBK"/>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昆仑仿宋">
    <w:altName w:val="黑体"/>
    <w:panose1 w:val="00000000000000000000"/>
    <w:charset w:val="86"/>
    <w:family w:val="modern"/>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Microsoft YaHei UI">
    <w:altName w:val="微软雅黑"/>
    <w:panose1 w:val="020B0503020204020204"/>
    <w:charset w:val="86"/>
    <w:family w:val="swiss"/>
    <w:pitch w:val="default"/>
    <w:sig w:usb0="00000000" w:usb1="00000000"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仿宋体">
    <w:altName w:val="仿宋"/>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Cambria Math">
    <w:panose1 w:val="02040503050406030204"/>
    <w:charset w:val="00"/>
    <w:family w:val="roman"/>
    <w:pitch w:val="default"/>
    <w:sig w:usb0="E00002FF" w:usb1="420024FF" w:usb2="00000000" w:usb3="00000000" w:csb0="2000019F" w:csb1="0000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devCQ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Tyg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N168JAdAgAAKwQAAA4AAAAAAAAAAQAgAAAANQEAAGRycy9lMm9Eb2MueG1sUEsF&#10;BgAAAAAGAAYAWQEAAMQFAAAAAA==&#10;">
              <v:fill on="f" focussize="0,0"/>
              <v:stroke on="f" weight="0.5pt"/>
              <v:imagedata o:title=""/>
              <o:lock v:ext="edit" aspectratio="f"/>
              <v:textbox inset="0mm,0mm,0mm,0mm" style="mso-fit-shape-to-text:t;">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vuBYsHgIAACsEAAAOAAAAAAAAAAEAIAAAADUBAABkcnMvZTJvRG9jLnhtbFBL&#10;BQYAAAAABgAGAFkBAADFBQAAAAA=&#10;">
              <v:fill on="f" focussize="0,0"/>
              <v:stroke on="f" weight="0.5pt"/>
              <v:imagedata o:title=""/>
              <o:lock v:ext="edit" aspectratio="f"/>
              <v:textbox inset="0mm,0mm,0mm,0mm" style="mso-fit-shape-to-text:t;">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spacing w:before="72" w:after="72"/>
      <w:jc w:val="center"/>
      <w:rPr>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TkUFI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5FBSBwCAAArBAAADgAAAAAAAAABACAAAAA1AQAAZHJzL2Uyb0RvYy54bWxQSwUG&#10;AAAAAAYABgBZAQAAwwUAAAAA&#10;">
              <v:fill on="f" focussize="0,0"/>
              <v:stroke on="f" weight="0.5pt"/>
              <v:imagedata o:title=""/>
              <o:lock v:ext="edit" aspectratio="f"/>
              <v:textbox inset="0mm,0mm,0mm,0mm" style="mso-fit-shape-to-text:t;">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left="1470" w:right="147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C3V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C/4LdUdAgAAKwQAAA4AAAAAAAAAAQAgAAAANQEAAGRycy9lMm9Eb2MueG1sUEsF&#10;BgAAAAAGAAYAWQEAAMQFAAAAAA==&#10;">
              <v:fill on="f" focussize="0,0"/>
              <v:stroke on="f" weight="0.5pt"/>
              <v:imagedata o:title=""/>
              <o:lock v:ext="edit" aspectratio="f"/>
              <v:textbox inset="0mm,0mm,0mm,0mm" style="mso-fit-shape-to-text:t;">
                <w:txbxContent>
                  <w:p>
                    <w:pPr>
                      <w:pStyle w:val="5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08"/>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08"/>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8528F"/>
    <w:multiLevelType w:val="multilevel"/>
    <w:tmpl w:val="00F8528F"/>
    <w:lvl w:ilvl="0" w:tentative="0">
      <w:start w:val="1"/>
      <w:numFmt w:val="none"/>
      <w:pStyle w:val="15"/>
      <w:lvlText w:val="  第一部分"/>
      <w:lvlJc w:val="center"/>
      <w:pPr>
        <w:tabs>
          <w:tab w:val="left" w:pos="1728"/>
        </w:tabs>
        <w:ind w:left="425" w:hanging="137"/>
      </w:pPr>
      <w:rPr>
        <w:rFonts w:hint="eastAsia"/>
        <w:b/>
        <w:i w:val="0"/>
        <w:sz w:val="48"/>
      </w:rPr>
    </w:lvl>
    <w:lvl w:ilvl="1" w:tentative="0">
      <w:start w:val="1"/>
      <w:numFmt w:val="none"/>
      <w:lvlText w:val="第一章"/>
      <w:lvlJc w:val="center"/>
      <w:pPr>
        <w:tabs>
          <w:tab w:val="left" w:pos="1145"/>
        </w:tabs>
        <w:ind w:left="992" w:hanging="567"/>
      </w:pPr>
      <w:rPr>
        <w:rFonts w:hint="eastAsia"/>
        <w:b/>
        <w:i w:val="0"/>
        <w:sz w:val="36"/>
      </w:rPr>
    </w:lvl>
    <w:lvl w:ilvl="2" w:tentative="0">
      <w:start w:val="1"/>
      <w:numFmt w:val="none"/>
      <w:lvlText w:val="第一节"/>
      <w:lvlJc w:val="center"/>
      <w:pPr>
        <w:tabs>
          <w:tab w:val="left" w:pos="1418"/>
        </w:tabs>
        <w:ind w:left="1418" w:hanging="567"/>
      </w:pPr>
      <w:rPr>
        <w:rFonts w:hint="eastAsia"/>
        <w:b/>
        <w:i w:val="0"/>
        <w:sz w:val="32"/>
      </w:rPr>
    </w:lvl>
    <w:lvl w:ilvl="3" w:tentative="0">
      <w:start w:val="1"/>
      <w:numFmt w:val="none"/>
      <w:pStyle w:val="252"/>
      <w:lvlText w:val="一、"/>
      <w:lvlJc w:val="left"/>
      <w:pPr>
        <w:tabs>
          <w:tab w:val="left" w:pos="1984"/>
        </w:tabs>
        <w:ind w:left="1984" w:hanging="708"/>
      </w:pPr>
      <w:rPr>
        <w:rFonts w:hint="eastAsia"/>
        <w:b/>
        <w:i w:val="0"/>
        <w:sz w:val="30"/>
      </w:rPr>
    </w:lvl>
    <w:lvl w:ilvl="4" w:tentative="0">
      <w:start w:val="1"/>
      <w:numFmt w:val="none"/>
      <w:lvlText w:val="（一）"/>
      <w:lvlJc w:val="left"/>
      <w:pPr>
        <w:tabs>
          <w:tab w:val="left" w:pos="2781"/>
        </w:tabs>
        <w:ind w:left="2551" w:hanging="850"/>
      </w:pPr>
      <w:rPr>
        <w:rFonts w:hint="eastAsia"/>
        <w:b/>
        <w:i w:val="0"/>
        <w:sz w:val="28"/>
      </w:rPr>
    </w:lvl>
    <w:lvl w:ilvl="5" w:tentative="0">
      <w:start w:val="1"/>
      <w:numFmt w:val="decimal"/>
      <w:lvlText w:val="%1.%2.%3.%4.%5.%6"/>
      <w:lvlJc w:val="left"/>
      <w:pPr>
        <w:tabs>
          <w:tab w:val="left" w:pos="3260"/>
        </w:tabs>
        <w:ind w:left="3260" w:hanging="1446"/>
      </w:pPr>
      <w:rPr>
        <w:rFonts w:hint="eastAsia"/>
        <w:sz w:val="24"/>
      </w:rPr>
    </w:lvl>
    <w:lvl w:ilvl="6" w:tentative="0">
      <w:start w:val="1"/>
      <w:numFmt w:val="decimal"/>
      <w:isLgl/>
      <w:lvlText w:val="%1.%2.%3.%4.%5.%6.%7"/>
      <w:lvlJc w:val="left"/>
      <w:pPr>
        <w:tabs>
          <w:tab w:val="left" w:pos="507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suff w:val="space"/>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420"/>
  <w:evenAndOddHeaders w:val="true"/>
  <w:drawingGridHorizontalSpacing w:val="105"/>
  <w:drawingGridVerticalSpacing w:val="158"/>
  <w:displayVertic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ViMjY3ZTQ5MDlkYzZlZTU1OTE1MzA1Yzg1ZDUyZTAifQ=="/>
  </w:docVars>
  <w:rsids>
    <w:rsidRoot w:val="00172A27"/>
    <w:rsid w:val="000009B4"/>
    <w:rsid w:val="00001872"/>
    <w:rsid w:val="0000298A"/>
    <w:rsid w:val="000030FE"/>
    <w:rsid w:val="000034DB"/>
    <w:rsid w:val="00003638"/>
    <w:rsid w:val="00003C16"/>
    <w:rsid w:val="000042CA"/>
    <w:rsid w:val="00004DEB"/>
    <w:rsid w:val="00005C7C"/>
    <w:rsid w:val="0000602B"/>
    <w:rsid w:val="00006281"/>
    <w:rsid w:val="00006307"/>
    <w:rsid w:val="000066BD"/>
    <w:rsid w:val="00007826"/>
    <w:rsid w:val="00007B6F"/>
    <w:rsid w:val="00007BB7"/>
    <w:rsid w:val="00010858"/>
    <w:rsid w:val="000108C6"/>
    <w:rsid w:val="000118FB"/>
    <w:rsid w:val="00011DA8"/>
    <w:rsid w:val="00011E01"/>
    <w:rsid w:val="0001203F"/>
    <w:rsid w:val="000124C8"/>
    <w:rsid w:val="00012878"/>
    <w:rsid w:val="00012BFA"/>
    <w:rsid w:val="00012FA9"/>
    <w:rsid w:val="000147FB"/>
    <w:rsid w:val="00014DB7"/>
    <w:rsid w:val="00015045"/>
    <w:rsid w:val="0001559C"/>
    <w:rsid w:val="000165EE"/>
    <w:rsid w:val="000170E0"/>
    <w:rsid w:val="00017D13"/>
    <w:rsid w:val="00017FA7"/>
    <w:rsid w:val="000201DA"/>
    <w:rsid w:val="0002070F"/>
    <w:rsid w:val="00020F23"/>
    <w:rsid w:val="000212B2"/>
    <w:rsid w:val="0002176C"/>
    <w:rsid w:val="00021807"/>
    <w:rsid w:val="00021B05"/>
    <w:rsid w:val="000224B9"/>
    <w:rsid w:val="00023319"/>
    <w:rsid w:val="00023CB1"/>
    <w:rsid w:val="000240EF"/>
    <w:rsid w:val="000247F3"/>
    <w:rsid w:val="000249DA"/>
    <w:rsid w:val="00024B81"/>
    <w:rsid w:val="00025334"/>
    <w:rsid w:val="00025651"/>
    <w:rsid w:val="00025A81"/>
    <w:rsid w:val="00025FD9"/>
    <w:rsid w:val="000264D6"/>
    <w:rsid w:val="00027361"/>
    <w:rsid w:val="00027A0A"/>
    <w:rsid w:val="000304B8"/>
    <w:rsid w:val="00030762"/>
    <w:rsid w:val="00030A8E"/>
    <w:rsid w:val="00030CA5"/>
    <w:rsid w:val="00030CF8"/>
    <w:rsid w:val="00031D3C"/>
    <w:rsid w:val="00031EE6"/>
    <w:rsid w:val="0003239A"/>
    <w:rsid w:val="0003263B"/>
    <w:rsid w:val="00033218"/>
    <w:rsid w:val="00033561"/>
    <w:rsid w:val="0003393D"/>
    <w:rsid w:val="000342DF"/>
    <w:rsid w:val="00034548"/>
    <w:rsid w:val="00034B4C"/>
    <w:rsid w:val="000352B7"/>
    <w:rsid w:val="00035F2A"/>
    <w:rsid w:val="00037280"/>
    <w:rsid w:val="00037538"/>
    <w:rsid w:val="00037962"/>
    <w:rsid w:val="00040DDA"/>
    <w:rsid w:val="0004143F"/>
    <w:rsid w:val="00041559"/>
    <w:rsid w:val="00041716"/>
    <w:rsid w:val="00042457"/>
    <w:rsid w:val="00042884"/>
    <w:rsid w:val="000433AE"/>
    <w:rsid w:val="0004388C"/>
    <w:rsid w:val="00043F27"/>
    <w:rsid w:val="00044319"/>
    <w:rsid w:val="00044C72"/>
    <w:rsid w:val="00045B53"/>
    <w:rsid w:val="000461C2"/>
    <w:rsid w:val="00046539"/>
    <w:rsid w:val="00047259"/>
    <w:rsid w:val="000478BB"/>
    <w:rsid w:val="00047AAB"/>
    <w:rsid w:val="0005090C"/>
    <w:rsid w:val="00050E0A"/>
    <w:rsid w:val="000511A9"/>
    <w:rsid w:val="00051AF6"/>
    <w:rsid w:val="00052512"/>
    <w:rsid w:val="0005294E"/>
    <w:rsid w:val="00053260"/>
    <w:rsid w:val="00053853"/>
    <w:rsid w:val="00053A10"/>
    <w:rsid w:val="0005427F"/>
    <w:rsid w:val="000545C9"/>
    <w:rsid w:val="00054F1C"/>
    <w:rsid w:val="0005516E"/>
    <w:rsid w:val="0005543B"/>
    <w:rsid w:val="000554F2"/>
    <w:rsid w:val="00055D67"/>
    <w:rsid w:val="00056479"/>
    <w:rsid w:val="00056AA9"/>
    <w:rsid w:val="000571A0"/>
    <w:rsid w:val="00057489"/>
    <w:rsid w:val="00057B9F"/>
    <w:rsid w:val="00057C8F"/>
    <w:rsid w:val="00057ED8"/>
    <w:rsid w:val="00060188"/>
    <w:rsid w:val="0006035F"/>
    <w:rsid w:val="00060768"/>
    <w:rsid w:val="00060AE4"/>
    <w:rsid w:val="00060F2E"/>
    <w:rsid w:val="000613FF"/>
    <w:rsid w:val="0006161A"/>
    <w:rsid w:val="00062140"/>
    <w:rsid w:val="00062527"/>
    <w:rsid w:val="000627AA"/>
    <w:rsid w:val="00063B04"/>
    <w:rsid w:val="00063CEA"/>
    <w:rsid w:val="00063E0C"/>
    <w:rsid w:val="0006510C"/>
    <w:rsid w:val="00065747"/>
    <w:rsid w:val="00065F1A"/>
    <w:rsid w:val="000670EF"/>
    <w:rsid w:val="00070456"/>
    <w:rsid w:val="00070AAE"/>
    <w:rsid w:val="00070B5F"/>
    <w:rsid w:val="00070BA4"/>
    <w:rsid w:val="00070DE0"/>
    <w:rsid w:val="00071150"/>
    <w:rsid w:val="00072152"/>
    <w:rsid w:val="00072754"/>
    <w:rsid w:val="000729CB"/>
    <w:rsid w:val="00072E7B"/>
    <w:rsid w:val="00072FE2"/>
    <w:rsid w:val="0007331B"/>
    <w:rsid w:val="00074418"/>
    <w:rsid w:val="00074465"/>
    <w:rsid w:val="000746C1"/>
    <w:rsid w:val="000746E4"/>
    <w:rsid w:val="00074AE0"/>
    <w:rsid w:val="00074F8C"/>
    <w:rsid w:val="00075367"/>
    <w:rsid w:val="000755B4"/>
    <w:rsid w:val="00075A26"/>
    <w:rsid w:val="0007616A"/>
    <w:rsid w:val="000761A7"/>
    <w:rsid w:val="00076BCC"/>
    <w:rsid w:val="00076D82"/>
    <w:rsid w:val="00077FC6"/>
    <w:rsid w:val="00080097"/>
    <w:rsid w:val="00080DEE"/>
    <w:rsid w:val="0008127E"/>
    <w:rsid w:val="00081F36"/>
    <w:rsid w:val="000823F4"/>
    <w:rsid w:val="000825D8"/>
    <w:rsid w:val="00082CCB"/>
    <w:rsid w:val="00082D95"/>
    <w:rsid w:val="00083129"/>
    <w:rsid w:val="000831BD"/>
    <w:rsid w:val="0008419E"/>
    <w:rsid w:val="000842A0"/>
    <w:rsid w:val="00084C4F"/>
    <w:rsid w:val="000850A0"/>
    <w:rsid w:val="000855FE"/>
    <w:rsid w:val="00085B64"/>
    <w:rsid w:val="00085C59"/>
    <w:rsid w:val="00085CCB"/>
    <w:rsid w:val="00086145"/>
    <w:rsid w:val="000867A1"/>
    <w:rsid w:val="000867C4"/>
    <w:rsid w:val="00087112"/>
    <w:rsid w:val="00087236"/>
    <w:rsid w:val="00090777"/>
    <w:rsid w:val="00090DA1"/>
    <w:rsid w:val="00091A75"/>
    <w:rsid w:val="00091CD9"/>
    <w:rsid w:val="00091FC5"/>
    <w:rsid w:val="00092D69"/>
    <w:rsid w:val="000936DE"/>
    <w:rsid w:val="00093C99"/>
    <w:rsid w:val="00095322"/>
    <w:rsid w:val="000957AF"/>
    <w:rsid w:val="000962A5"/>
    <w:rsid w:val="00096E59"/>
    <w:rsid w:val="00096F29"/>
    <w:rsid w:val="0009749C"/>
    <w:rsid w:val="00097801"/>
    <w:rsid w:val="00097C74"/>
    <w:rsid w:val="00097E5A"/>
    <w:rsid w:val="00097EB7"/>
    <w:rsid w:val="000A01C3"/>
    <w:rsid w:val="000A0986"/>
    <w:rsid w:val="000A0EBD"/>
    <w:rsid w:val="000A11CD"/>
    <w:rsid w:val="000A163E"/>
    <w:rsid w:val="000A2119"/>
    <w:rsid w:val="000A26B6"/>
    <w:rsid w:val="000A2B88"/>
    <w:rsid w:val="000A51E2"/>
    <w:rsid w:val="000A559A"/>
    <w:rsid w:val="000A5937"/>
    <w:rsid w:val="000A6474"/>
    <w:rsid w:val="000A692C"/>
    <w:rsid w:val="000A7093"/>
    <w:rsid w:val="000A757C"/>
    <w:rsid w:val="000A77F2"/>
    <w:rsid w:val="000A795B"/>
    <w:rsid w:val="000A7FF7"/>
    <w:rsid w:val="000B0AAD"/>
    <w:rsid w:val="000B0C48"/>
    <w:rsid w:val="000B0E9C"/>
    <w:rsid w:val="000B0E9F"/>
    <w:rsid w:val="000B134A"/>
    <w:rsid w:val="000B1D61"/>
    <w:rsid w:val="000B24B6"/>
    <w:rsid w:val="000B3C72"/>
    <w:rsid w:val="000B3E08"/>
    <w:rsid w:val="000B3E65"/>
    <w:rsid w:val="000B3F42"/>
    <w:rsid w:val="000B46E2"/>
    <w:rsid w:val="000B4756"/>
    <w:rsid w:val="000B5093"/>
    <w:rsid w:val="000B5591"/>
    <w:rsid w:val="000B5594"/>
    <w:rsid w:val="000B5D57"/>
    <w:rsid w:val="000B63B3"/>
    <w:rsid w:val="000B69BA"/>
    <w:rsid w:val="000C0665"/>
    <w:rsid w:val="000C0CDB"/>
    <w:rsid w:val="000C1988"/>
    <w:rsid w:val="000C25CC"/>
    <w:rsid w:val="000C25D1"/>
    <w:rsid w:val="000C2A81"/>
    <w:rsid w:val="000C46C8"/>
    <w:rsid w:val="000C4780"/>
    <w:rsid w:val="000C502B"/>
    <w:rsid w:val="000C51D9"/>
    <w:rsid w:val="000C523B"/>
    <w:rsid w:val="000C54AB"/>
    <w:rsid w:val="000C5A1F"/>
    <w:rsid w:val="000C6805"/>
    <w:rsid w:val="000C6946"/>
    <w:rsid w:val="000C69B6"/>
    <w:rsid w:val="000C6B39"/>
    <w:rsid w:val="000C79EF"/>
    <w:rsid w:val="000D0040"/>
    <w:rsid w:val="000D05AF"/>
    <w:rsid w:val="000D0D9F"/>
    <w:rsid w:val="000D28DA"/>
    <w:rsid w:val="000D301D"/>
    <w:rsid w:val="000D30F3"/>
    <w:rsid w:val="000D30FC"/>
    <w:rsid w:val="000D38D7"/>
    <w:rsid w:val="000D397B"/>
    <w:rsid w:val="000D3B3D"/>
    <w:rsid w:val="000D455E"/>
    <w:rsid w:val="000D47BA"/>
    <w:rsid w:val="000D4B4A"/>
    <w:rsid w:val="000D4C93"/>
    <w:rsid w:val="000D4D90"/>
    <w:rsid w:val="000D4EE7"/>
    <w:rsid w:val="000D5401"/>
    <w:rsid w:val="000D560F"/>
    <w:rsid w:val="000D5B7F"/>
    <w:rsid w:val="000D6278"/>
    <w:rsid w:val="000D6607"/>
    <w:rsid w:val="000D6866"/>
    <w:rsid w:val="000D74BB"/>
    <w:rsid w:val="000D7764"/>
    <w:rsid w:val="000E131E"/>
    <w:rsid w:val="000E24BB"/>
    <w:rsid w:val="000E2E46"/>
    <w:rsid w:val="000E3267"/>
    <w:rsid w:val="000E35C7"/>
    <w:rsid w:val="000E3BD5"/>
    <w:rsid w:val="000E4130"/>
    <w:rsid w:val="000E42E0"/>
    <w:rsid w:val="000E4BEC"/>
    <w:rsid w:val="000E4C76"/>
    <w:rsid w:val="000E5907"/>
    <w:rsid w:val="000E5EDD"/>
    <w:rsid w:val="000E719D"/>
    <w:rsid w:val="000E7AFB"/>
    <w:rsid w:val="000F06E5"/>
    <w:rsid w:val="000F1684"/>
    <w:rsid w:val="000F2170"/>
    <w:rsid w:val="000F2725"/>
    <w:rsid w:val="000F2C88"/>
    <w:rsid w:val="000F2D6D"/>
    <w:rsid w:val="000F331C"/>
    <w:rsid w:val="000F36EA"/>
    <w:rsid w:val="000F4FB1"/>
    <w:rsid w:val="000F5233"/>
    <w:rsid w:val="000F62C4"/>
    <w:rsid w:val="000F713E"/>
    <w:rsid w:val="000F760C"/>
    <w:rsid w:val="000F7645"/>
    <w:rsid w:val="000F78A4"/>
    <w:rsid w:val="00100247"/>
    <w:rsid w:val="0010029D"/>
    <w:rsid w:val="00100398"/>
    <w:rsid w:val="0010093F"/>
    <w:rsid w:val="00100A23"/>
    <w:rsid w:val="00100F5C"/>
    <w:rsid w:val="00100FA1"/>
    <w:rsid w:val="00101714"/>
    <w:rsid w:val="001024B0"/>
    <w:rsid w:val="0010250F"/>
    <w:rsid w:val="00103F0C"/>
    <w:rsid w:val="001043DC"/>
    <w:rsid w:val="00104987"/>
    <w:rsid w:val="00104E95"/>
    <w:rsid w:val="00105593"/>
    <w:rsid w:val="001055A3"/>
    <w:rsid w:val="0010765F"/>
    <w:rsid w:val="001078A7"/>
    <w:rsid w:val="00107D82"/>
    <w:rsid w:val="00110431"/>
    <w:rsid w:val="00110FA2"/>
    <w:rsid w:val="0011140E"/>
    <w:rsid w:val="0011148F"/>
    <w:rsid w:val="00111949"/>
    <w:rsid w:val="00112536"/>
    <w:rsid w:val="001129A0"/>
    <w:rsid w:val="00113AFF"/>
    <w:rsid w:val="00113C7D"/>
    <w:rsid w:val="00114479"/>
    <w:rsid w:val="00114C68"/>
    <w:rsid w:val="00114CD4"/>
    <w:rsid w:val="0011520A"/>
    <w:rsid w:val="00115E33"/>
    <w:rsid w:val="00116852"/>
    <w:rsid w:val="0011698B"/>
    <w:rsid w:val="00116C4B"/>
    <w:rsid w:val="00116C7E"/>
    <w:rsid w:val="0011732F"/>
    <w:rsid w:val="001178B6"/>
    <w:rsid w:val="00120469"/>
    <w:rsid w:val="00120573"/>
    <w:rsid w:val="00120964"/>
    <w:rsid w:val="00120F35"/>
    <w:rsid w:val="00121307"/>
    <w:rsid w:val="001214DE"/>
    <w:rsid w:val="00121F72"/>
    <w:rsid w:val="00122A1C"/>
    <w:rsid w:val="00123682"/>
    <w:rsid w:val="001236C5"/>
    <w:rsid w:val="001239CD"/>
    <w:rsid w:val="001240B5"/>
    <w:rsid w:val="0012414B"/>
    <w:rsid w:val="00124524"/>
    <w:rsid w:val="00124737"/>
    <w:rsid w:val="00124F94"/>
    <w:rsid w:val="001251F1"/>
    <w:rsid w:val="00125680"/>
    <w:rsid w:val="00127660"/>
    <w:rsid w:val="00127EE1"/>
    <w:rsid w:val="00130817"/>
    <w:rsid w:val="0013091A"/>
    <w:rsid w:val="001309B1"/>
    <w:rsid w:val="00130A9A"/>
    <w:rsid w:val="00130CEB"/>
    <w:rsid w:val="00130DEE"/>
    <w:rsid w:val="00130E63"/>
    <w:rsid w:val="00131283"/>
    <w:rsid w:val="00133999"/>
    <w:rsid w:val="001343AE"/>
    <w:rsid w:val="00134988"/>
    <w:rsid w:val="0013521B"/>
    <w:rsid w:val="00135B17"/>
    <w:rsid w:val="001360E4"/>
    <w:rsid w:val="00136692"/>
    <w:rsid w:val="001366DB"/>
    <w:rsid w:val="0013693B"/>
    <w:rsid w:val="00136C18"/>
    <w:rsid w:val="00137220"/>
    <w:rsid w:val="001372E7"/>
    <w:rsid w:val="00140BD0"/>
    <w:rsid w:val="00140DA0"/>
    <w:rsid w:val="0014107F"/>
    <w:rsid w:val="00141287"/>
    <w:rsid w:val="00141E7E"/>
    <w:rsid w:val="0014245A"/>
    <w:rsid w:val="00142B30"/>
    <w:rsid w:val="00142D64"/>
    <w:rsid w:val="00143B3F"/>
    <w:rsid w:val="00143B81"/>
    <w:rsid w:val="00143C61"/>
    <w:rsid w:val="00144320"/>
    <w:rsid w:val="00144B92"/>
    <w:rsid w:val="00147065"/>
    <w:rsid w:val="001474A3"/>
    <w:rsid w:val="00147C0B"/>
    <w:rsid w:val="00147CA3"/>
    <w:rsid w:val="00150929"/>
    <w:rsid w:val="001512BE"/>
    <w:rsid w:val="001513F0"/>
    <w:rsid w:val="00151547"/>
    <w:rsid w:val="00151AC0"/>
    <w:rsid w:val="001522F4"/>
    <w:rsid w:val="001525D4"/>
    <w:rsid w:val="00153C23"/>
    <w:rsid w:val="00153D78"/>
    <w:rsid w:val="0015456D"/>
    <w:rsid w:val="00155217"/>
    <w:rsid w:val="001555F2"/>
    <w:rsid w:val="001558EF"/>
    <w:rsid w:val="001562C2"/>
    <w:rsid w:val="00156875"/>
    <w:rsid w:val="00156A4F"/>
    <w:rsid w:val="001577C7"/>
    <w:rsid w:val="00157889"/>
    <w:rsid w:val="001578C9"/>
    <w:rsid w:val="00157E92"/>
    <w:rsid w:val="00160561"/>
    <w:rsid w:val="00160C64"/>
    <w:rsid w:val="001612B1"/>
    <w:rsid w:val="001614DD"/>
    <w:rsid w:val="00161FA7"/>
    <w:rsid w:val="00162842"/>
    <w:rsid w:val="0016288D"/>
    <w:rsid w:val="00163757"/>
    <w:rsid w:val="0016399F"/>
    <w:rsid w:val="00163B04"/>
    <w:rsid w:val="00165257"/>
    <w:rsid w:val="00165A66"/>
    <w:rsid w:val="00166C0F"/>
    <w:rsid w:val="00167005"/>
    <w:rsid w:val="00167461"/>
    <w:rsid w:val="0017083F"/>
    <w:rsid w:val="00170B02"/>
    <w:rsid w:val="00170B30"/>
    <w:rsid w:val="00170E56"/>
    <w:rsid w:val="001710D2"/>
    <w:rsid w:val="001715B4"/>
    <w:rsid w:val="001721FD"/>
    <w:rsid w:val="001723AF"/>
    <w:rsid w:val="00172A27"/>
    <w:rsid w:val="00173E39"/>
    <w:rsid w:val="00174072"/>
    <w:rsid w:val="001740CF"/>
    <w:rsid w:val="00174270"/>
    <w:rsid w:val="001745B0"/>
    <w:rsid w:val="00176328"/>
    <w:rsid w:val="00176A96"/>
    <w:rsid w:val="001773DC"/>
    <w:rsid w:val="00177AD7"/>
    <w:rsid w:val="00177DFD"/>
    <w:rsid w:val="00180B9D"/>
    <w:rsid w:val="001812BB"/>
    <w:rsid w:val="00181490"/>
    <w:rsid w:val="001816B9"/>
    <w:rsid w:val="00181752"/>
    <w:rsid w:val="00181DC2"/>
    <w:rsid w:val="00182334"/>
    <w:rsid w:val="00182795"/>
    <w:rsid w:val="00182F06"/>
    <w:rsid w:val="001831BA"/>
    <w:rsid w:val="0018327F"/>
    <w:rsid w:val="00183850"/>
    <w:rsid w:val="00183C03"/>
    <w:rsid w:val="00186327"/>
    <w:rsid w:val="0018727A"/>
    <w:rsid w:val="00187B1F"/>
    <w:rsid w:val="00190139"/>
    <w:rsid w:val="00190244"/>
    <w:rsid w:val="001907C4"/>
    <w:rsid w:val="00190F62"/>
    <w:rsid w:val="001911B7"/>
    <w:rsid w:val="00191606"/>
    <w:rsid w:val="00191DCF"/>
    <w:rsid w:val="001920FB"/>
    <w:rsid w:val="00192846"/>
    <w:rsid w:val="00192A73"/>
    <w:rsid w:val="00192EE1"/>
    <w:rsid w:val="00193268"/>
    <w:rsid w:val="00193826"/>
    <w:rsid w:val="00194243"/>
    <w:rsid w:val="00195505"/>
    <w:rsid w:val="001962C0"/>
    <w:rsid w:val="0019684C"/>
    <w:rsid w:val="00196E2D"/>
    <w:rsid w:val="00197263"/>
    <w:rsid w:val="001973AD"/>
    <w:rsid w:val="0019772D"/>
    <w:rsid w:val="00197D5F"/>
    <w:rsid w:val="001A120B"/>
    <w:rsid w:val="001A147F"/>
    <w:rsid w:val="001A17CE"/>
    <w:rsid w:val="001A1FE6"/>
    <w:rsid w:val="001A22C1"/>
    <w:rsid w:val="001A2A7A"/>
    <w:rsid w:val="001A2EAF"/>
    <w:rsid w:val="001A336E"/>
    <w:rsid w:val="001A3700"/>
    <w:rsid w:val="001A3A07"/>
    <w:rsid w:val="001A3CF1"/>
    <w:rsid w:val="001A56BE"/>
    <w:rsid w:val="001A5846"/>
    <w:rsid w:val="001A5ED6"/>
    <w:rsid w:val="001A6602"/>
    <w:rsid w:val="001A7177"/>
    <w:rsid w:val="001A7185"/>
    <w:rsid w:val="001A7930"/>
    <w:rsid w:val="001B0132"/>
    <w:rsid w:val="001B03E0"/>
    <w:rsid w:val="001B1557"/>
    <w:rsid w:val="001B1D5F"/>
    <w:rsid w:val="001B27B2"/>
    <w:rsid w:val="001B2C08"/>
    <w:rsid w:val="001B2E51"/>
    <w:rsid w:val="001B3168"/>
    <w:rsid w:val="001B32D7"/>
    <w:rsid w:val="001B3635"/>
    <w:rsid w:val="001B3AFE"/>
    <w:rsid w:val="001B3B2A"/>
    <w:rsid w:val="001B453D"/>
    <w:rsid w:val="001B4F4C"/>
    <w:rsid w:val="001B59EF"/>
    <w:rsid w:val="001B5A82"/>
    <w:rsid w:val="001B679D"/>
    <w:rsid w:val="001B6FA9"/>
    <w:rsid w:val="001B703E"/>
    <w:rsid w:val="001B77F5"/>
    <w:rsid w:val="001B7DB2"/>
    <w:rsid w:val="001C0265"/>
    <w:rsid w:val="001C051B"/>
    <w:rsid w:val="001C07E8"/>
    <w:rsid w:val="001C1259"/>
    <w:rsid w:val="001C16B4"/>
    <w:rsid w:val="001C21C5"/>
    <w:rsid w:val="001C23E4"/>
    <w:rsid w:val="001C31EF"/>
    <w:rsid w:val="001C3972"/>
    <w:rsid w:val="001C3C0F"/>
    <w:rsid w:val="001C5272"/>
    <w:rsid w:val="001C5BDB"/>
    <w:rsid w:val="001C602C"/>
    <w:rsid w:val="001C60BA"/>
    <w:rsid w:val="001C7E7E"/>
    <w:rsid w:val="001D141D"/>
    <w:rsid w:val="001D19BB"/>
    <w:rsid w:val="001D25DE"/>
    <w:rsid w:val="001D2635"/>
    <w:rsid w:val="001D2A2A"/>
    <w:rsid w:val="001D2AE4"/>
    <w:rsid w:val="001D2B44"/>
    <w:rsid w:val="001D31A9"/>
    <w:rsid w:val="001D344C"/>
    <w:rsid w:val="001D366A"/>
    <w:rsid w:val="001D37F1"/>
    <w:rsid w:val="001D3A3A"/>
    <w:rsid w:val="001D4140"/>
    <w:rsid w:val="001D41C2"/>
    <w:rsid w:val="001D4CA7"/>
    <w:rsid w:val="001D587F"/>
    <w:rsid w:val="001D63CA"/>
    <w:rsid w:val="001D69E8"/>
    <w:rsid w:val="001D6C25"/>
    <w:rsid w:val="001D7E3C"/>
    <w:rsid w:val="001E0461"/>
    <w:rsid w:val="001E0BB9"/>
    <w:rsid w:val="001E0EFE"/>
    <w:rsid w:val="001E1ADB"/>
    <w:rsid w:val="001E1EA0"/>
    <w:rsid w:val="001E204D"/>
    <w:rsid w:val="001E295D"/>
    <w:rsid w:val="001E344B"/>
    <w:rsid w:val="001E3462"/>
    <w:rsid w:val="001E37CE"/>
    <w:rsid w:val="001E3E3A"/>
    <w:rsid w:val="001E5ECB"/>
    <w:rsid w:val="001E6025"/>
    <w:rsid w:val="001E72BB"/>
    <w:rsid w:val="001F0F8F"/>
    <w:rsid w:val="001F1198"/>
    <w:rsid w:val="001F13CC"/>
    <w:rsid w:val="001F20E1"/>
    <w:rsid w:val="001F27E5"/>
    <w:rsid w:val="001F2899"/>
    <w:rsid w:val="001F2AC1"/>
    <w:rsid w:val="001F3F4B"/>
    <w:rsid w:val="001F3F88"/>
    <w:rsid w:val="001F4C93"/>
    <w:rsid w:val="001F54FA"/>
    <w:rsid w:val="001F64DB"/>
    <w:rsid w:val="001F74D7"/>
    <w:rsid w:val="00200A6D"/>
    <w:rsid w:val="00201448"/>
    <w:rsid w:val="0020196E"/>
    <w:rsid w:val="00201994"/>
    <w:rsid w:val="00202737"/>
    <w:rsid w:val="002027C8"/>
    <w:rsid w:val="002027D8"/>
    <w:rsid w:val="00202BEB"/>
    <w:rsid w:val="00202D0F"/>
    <w:rsid w:val="00203157"/>
    <w:rsid w:val="002031D7"/>
    <w:rsid w:val="00203EF6"/>
    <w:rsid w:val="0020448F"/>
    <w:rsid w:val="002044CA"/>
    <w:rsid w:val="00204A8C"/>
    <w:rsid w:val="00204F01"/>
    <w:rsid w:val="0020573B"/>
    <w:rsid w:val="00206470"/>
    <w:rsid w:val="00206889"/>
    <w:rsid w:val="00207797"/>
    <w:rsid w:val="002106B3"/>
    <w:rsid w:val="002106B6"/>
    <w:rsid w:val="00210AB5"/>
    <w:rsid w:val="00210C34"/>
    <w:rsid w:val="00211330"/>
    <w:rsid w:val="00211726"/>
    <w:rsid w:val="00211A76"/>
    <w:rsid w:val="00211B28"/>
    <w:rsid w:val="00211B90"/>
    <w:rsid w:val="00211D1F"/>
    <w:rsid w:val="00213405"/>
    <w:rsid w:val="0021576F"/>
    <w:rsid w:val="00215883"/>
    <w:rsid w:val="00215A48"/>
    <w:rsid w:val="00216D22"/>
    <w:rsid w:val="00217A63"/>
    <w:rsid w:val="00217B8D"/>
    <w:rsid w:val="00217EB2"/>
    <w:rsid w:val="00220D6D"/>
    <w:rsid w:val="0022133D"/>
    <w:rsid w:val="0022181A"/>
    <w:rsid w:val="0022238D"/>
    <w:rsid w:val="002223D2"/>
    <w:rsid w:val="002226F2"/>
    <w:rsid w:val="00222F43"/>
    <w:rsid w:val="002236BF"/>
    <w:rsid w:val="002239FA"/>
    <w:rsid w:val="00223F76"/>
    <w:rsid w:val="00224265"/>
    <w:rsid w:val="0022533F"/>
    <w:rsid w:val="002253E6"/>
    <w:rsid w:val="002258F1"/>
    <w:rsid w:val="0022625F"/>
    <w:rsid w:val="0022677C"/>
    <w:rsid w:val="002267E6"/>
    <w:rsid w:val="00227A99"/>
    <w:rsid w:val="00227FF5"/>
    <w:rsid w:val="00230259"/>
    <w:rsid w:val="00230AA4"/>
    <w:rsid w:val="00230C6A"/>
    <w:rsid w:val="00230D4D"/>
    <w:rsid w:val="00231ED1"/>
    <w:rsid w:val="00231F81"/>
    <w:rsid w:val="0023230A"/>
    <w:rsid w:val="002324CB"/>
    <w:rsid w:val="00232535"/>
    <w:rsid w:val="0023292C"/>
    <w:rsid w:val="002330BA"/>
    <w:rsid w:val="00233C30"/>
    <w:rsid w:val="00234005"/>
    <w:rsid w:val="00236312"/>
    <w:rsid w:val="0023633E"/>
    <w:rsid w:val="00236412"/>
    <w:rsid w:val="00236DA5"/>
    <w:rsid w:val="00237552"/>
    <w:rsid w:val="0024020C"/>
    <w:rsid w:val="00240330"/>
    <w:rsid w:val="002404F5"/>
    <w:rsid w:val="0024086F"/>
    <w:rsid w:val="00240DDF"/>
    <w:rsid w:val="00242510"/>
    <w:rsid w:val="00243162"/>
    <w:rsid w:val="00243874"/>
    <w:rsid w:val="00243F40"/>
    <w:rsid w:val="0024410F"/>
    <w:rsid w:val="00245671"/>
    <w:rsid w:val="0024618B"/>
    <w:rsid w:val="00246262"/>
    <w:rsid w:val="002463C3"/>
    <w:rsid w:val="002467F0"/>
    <w:rsid w:val="00246AB1"/>
    <w:rsid w:val="00246B66"/>
    <w:rsid w:val="00247045"/>
    <w:rsid w:val="00247341"/>
    <w:rsid w:val="0024745E"/>
    <w:rsid w:val="002501C0"/>
    <w:rsid w:val="002501D0"/>
    <w:rsid w:val="00251FC3"/>
    <w:rsid w:val="00252C59"/>
    <w:rsid w:val="00252E0A"/>
    <w:rsid w:val="0025301F"/>
    <w:rsid w:val="00253397"/>
    <w:rsid w:val="00253449"/>
    <w:rsid w:val="00253500"/>
    <w:rsid w:val="00253AE3"/>
    <w:rsid w:val="00253C7D"/>
    <w:rsid w:val="002542CD"/>
    <w:rsid w:val="00254757"/>
    <w:rsid w:val="00254F0C"/>
    <w:rsid w:val="00255DAB"/>
    <w:rsid w:val="00256516"/>
    <w:rsid w:val="00256FDC"/>
    <w:rsid w:val="002570CC"/>
    <w:rsid w:val="0025714A"/>
    <w:rsid w:val="00257B30"/>
    <w:rsid w:val="002602A4"/>
    <w:rsid w:val="002603EA"/>
    <w:rsid w:val="00260B0C"/>
    <w:rsid w:val="00261B04"/>
    <w:rsid w:val="00261B85"/>
    <w:rsid w:val="00261CE7"/>
    <w:rsid w:val="00261DB2"/>
    <w:rsid w:val="00261F01"/>
    <w:rsid w:val="002621B2"/>
    <w:rsid w:val="002626C1"/>
    <w:rsid w:val="00263045"/>
    <w:rsid w:val="002630C2"/>
    <w:rsid w:val="002637E7"/>
    <w:rsid w:val="002640FA"/>
    <w:rsid w:val="0026447F"/>
    <w:rsid w:val="00264703"/>
    <w:rsid w:val="002663BB"/>
    <w:rsid w:val="0026710E"/>
    <w:rsid w:val="00270C6E"/>
    <w:rsid w:val="00270D84"/>
    <w:rsid w:val="00270F07"/>
    <w:rsid w:val="002716D7"/>
    <w:rsid w:val="00271701"/>
    <w:rsid w:val="002719A1"/>
    <w:rsid w:val="002723EE"/>
    <w:rsid w:val="0027261D"/>
    <w:rsid w:val="00272BC7"/>
    <w:rsid w:val="0027399C"/>
    <w:rsid w:val="00273DFC"/>
    <w:rsid w:val="00273F1B"/>
    <w:rsid w:val="0027409F"/>
    <w:rsid w:val="002749B5"/>
    <w:rsid w:val="00274F62"/>
    <w:rsid w:val="00275453"/>
    <w:rsid w:val="00275526"/>
    <w:rsid w:val="00276A81"/>
    <w:rsid w:val="00276D6D"/>
    <w:rsid w:val="00280812"/>
    <w:rsid w:val="002808D8"/>
    <w:rsid w:val="00281557"/>
    <w:rsid w:val="00281BE9"/>
    <w:rsid w:val="00282581"/>
    <w:rsid w:val="0028358C"/>
    <w:rsid w:val="00284122"/>
    <w:rsid w:val="00284196"/>
    <w:rsid w:val="0028428E"/>
    <w:rsid w:val="00284675"/>
    <w:rsid w:val="00284B1C"/>
    <w:rsid w:val="00284FB3"/>
    <w:rsid w:val="002853C2"/>
    <w:rsid w:val="00285B86"/>
    <w:rsid w:val="00285F2F"/>
    <w:rsid w:val="00286AEA"/>
    <w:rsid w:val="00286E11"/>
    <w:rsid w:val="002870BE"/>
    <w:rsid w:val="0028729B"/>
    <w:rsid w:val="002877C8"/>
    <w:rsid w:val="00287E68"/>
    <w:rsid w:val="00291383"/>
    <w:rsid w:val="0029161F"/>
    <w:rsid w:val="00291730"/>
    <w:rsid w:val="00291AF4"/>
    <w:rsid w:val="00291E5D"/>
    <w:rsid w:val="0029296B"/>
    <w:rsid w:val="00292D25"/>
    <w:rsid w:val="00292E1C"/>
    <w:rsid w:val="00293342"/>
    <w:rsid w:val="00293B6E"/>
    <w:rsid w:val="00293E0C"/>
    <w:rsid w:val="00294034"/>
    <w:rsid w:val="0029404F"/>
    <w:rsid w:val="002949C4"/>
    <w:rsid w:val="00294A01"/>
    <w:rsid w:val="002950F4"/>
    <w:rsid w:val="00295294"/>
    <w:rsid w:val="002952D4"/>
    <w:rsid w:val="00296161"/>
    <w:rsid w:val="00296477"/>
    <w:rsid w:val="00296694"/>
    <w:rsid w:val="00296B22"/>
    <w:rsid w:val="002A0240"/>
    <w:rsid w:val="002A04D7"/>
    <w:rsid w:val="002A08D6"/>
    <w:rsid w:val="002A0C88"/>
    <w:rsid w:val="002A0CA9"/>
    <w:rsid w:val="002A100C"/>
    <w:rsid w:val="002A1436"/>
    <w:rsid w:val="002A20E4"/>
    <w:rsid w:val="002A2548"/>
    <w:rsid w:val="002A2A93"/>
    <w:rsid w:val="002A315A"/>
    <w:rsid w:val="002A3338"/>
    <w:rsid w:val="002A3ECB"/>
    <w:rsid w:val="002A3EFF"/>
    <w:rsid w:val="002A47B1"/>
    <w:rsid w:val="002A4DC9"/>
    <w:rsid w:val="002A56F9"/>
    <w:rsid w:val="002A5A5C"/>
    <w:rsid w:val="002A62F2"/>
    <w:rsid w:val="002A689C"/>
    <w:rsid w:val="002A6CB9"/>
    <w:rsid w:val="002A6E68"/>
    <w:rsid w:val="002A7E6B"/>
    <w:rsid w:val="002B043B"/>
    <w:rsid w:val="002B0F80"/>
    <w:rsid w:val="002B1BB5"/>
    <w:rsid w:val="002B2872"/>
    <w:rsid w:val="002B35F2"/>
    <w:rsid w:val="002B3866"/>
    <w:rsid w:val="002B39DF"/>
    <w:rsid w:val="002B4AFB"/>
    <w:rsid w:val="002B565F"/>
    <w:rsid w:val="002B734D"/>
    <w:rsid w:val="002B7CDB"/>
    <w:rsid w:val="002B7D60"/>
    <w:rsid w:val="002C0112"/>
    <w:rsid w:val="002C0529"/>
    <w:rsid w:val="002C0965"/>
    <w:rsid w:val="002C1277"/>
    <w:rsid w:val="002C1827"/>
    <w:rsid w:val="002C1C84"/>
    <w:rsid w:val="002C2003"/>
    <w:rsid w:val="002C27FF"/>
    <w:rsid w:val="002C37A5"/>
    <w:rsid w:val="002C4D34"/>
    <w:rsid w:val="002C5D15"/>
    <w:rsid w:val="002C666C"/>
    <w:rsid w:val="002C6742"/>
    <w:rsid w:val="002C6C5D"/>
    <w:rsid w:val="002C7023"/>
    <w:rsid w:val="002C77D1"/>
    <w:rsid w:val="002C7A84"/>
    <w:rsid w:val="002C7A92"/>
    <w:rsid w:val="002C7FD7"/>
    <w:rsid w:val="002D06AC"/>
    <w:rsid w:val="002D073C"/>
    <w:rsid w:val="002D1055"/>
    <w:rsid w:val="002D1748"/>
    <w:rsid w:val="002D18E6"/>
    <w:rsid w:val="002D21D5"/>
    <w:rsid w:val="002D282F"/>
    <w:rsid w:val="002D2FA4"/>
    <w:rsid w:val="002D33A2"/>
    <w:rsid w:val="002D3517"/>
    <w:rsid w:val="002D3522"/>
    <w:rsid w:val="002D36CF"/>
    <w:rsid w:val="002D3735"/>
    <w:rsid w:val="002D3975"/>
    <w:rsid w:val="002D3EF5"/>
    <w:rsid w:val="002D4950"/>
    <w:rsid w:val="002D4C74"/>
    <w:rsid w:val="002D4F57"/>
    <w:rsid w:val="002D5699"/>
    <w:rsid w:val="002D57A1"/>
    <w:rsid w:val="002D5867"/>
    <w:rsid w:val="002D59FF"/>
    <w:rsid w:val="002D6781"/>
    <w:rsid w:val="002D6895"/>
    <w:rsid w:val="002D722D"/>
    <w:rsid w:val="002D7AB2"/>
    <w:rsid w:val="002E00D8"/>
    <w:rsid w:val="002E02F5"/>
    <w:rsid w:val="002E0F56"/>
    <w:rsid w:val="002E10D2"/>
    <w:rsid w:val="002E1949"/>
    <w:rsid w:val="002E1F48"/>
    <w:rsid w:val="002E2B54"/>
    <w:rsid w:val="002E2BA2"/>
    <w:rsid w:val="002E2C04"/>
    <w:rsid w:val="002E2C09"/>
    <w:rsid w:val="002E348C"/>
    <w:rsid w:val="002E3A95"/>
    <w:rsid w:val="002E4199"/>
    <w:rsid w:val="002E545A"/>
    <w:rsid w:val="002E549F"/>
    <w:rsid w:val="002E6BF9"/>
    <w:rsid w:val="002E6F46"/>
    <w:rsid w:val="002E7446"/>
    <w:rsid w:val="002E763D"/>
    <w:rsid w:val="002E77FD"/>
    <w:rsid w:val="002E786C"/>
    <w:rsid w:val="002E7C9E"/>
    <w:rsid w:val="002F03F9"/>
    <w:rsid w:val="002F096B"/>
    <w:rsid w:val="002F0EA8"/>
    <w:rsid w:val="002F0EF6"/>
    <w:rsid w:val="002F1A27"/>
    <w:rsid w:val="002F24E0"/>
    <w:rsid w:val="002F26A8"/>
    <w:rsid w:val="002F2CC3"/>
    <w:rsid w:val="002F2D96"/>
    <w:rsid w:val="002F3110"/>
    <w:rsid w:val="002F38B2"/>
    <w:rsid w:val="002F3981"/>
    <w:rsid w:val="002F3D4D"/>
    <w:rsid w:val="002F4C23"/>
    <w:rsid w:val="002F4C92"/>
    <w:rsid w:val="002F56C6"/>
    <w:rsid w:val="002F5C3C"/>
    <w:rsid w:val="002F60C5"/>
    <w:rsid w:val="002F62FE"/>
    <w:rsid w:val="002F6842"/>
    <w:rsid w:val="002F697B"/>
    <w:rsid w:val="002F6AB3"/>
    <w:rsid w:val="002F6E7A"/>
    <w:rsid w:val="002F75EF"/>
    <w:rsid w:val="002F776F"/>
    <w:rsid w:val="0030040B"/>
    <w:rsid w:val="003004E8"/>
    <w:rsid w:val="003004EE"/>
    <w:rsid w:val="003005DC"/>
    <w:rsid w:val="00302389"/>
    <w:rsid w:val="003027B7"/>
    <w:rsid w:val="00303835"/>
    <w:rsid w:val="00303D4A"/>
    <w:rsid w:val="00303E03"/>
    <w:rsid w:val="00303E1B"/>
    <w:rsid w:val="0030427A"/>
    <w:rsid w:val="00304CD4"/>
    <w:rsid w:val="003055E2"/>
    <w:rsid w:val="00305FA8"/>
    <w:rsid w:val="00306043"/>
    <w:rsid w:val="0030613A"/>
    <w:rsid w:val="003068FC"/>
    <w:rsid w:val="00307EFA"/>
    <w:rsid w:val="003107CA"/>
    <w:rsid w:val="00310811"/>
    <w:rsid w:val="00310EFD"/>
    <w:rsid w:val="00311BD2"/>
    <w:rsid w:val="003124CD"/>
    <w:rsid w:val="00312AF2"/>
    <w:rsid w:val="003144D0"/>
    <w:rsid w:val="003147CF"/>
    <w:rsid w:val="00314FBF"/>
    <w:rsid w:val="0031605E"/>
    <w:rsid w:val="003169A9"/>
    <w:rsid w:val="00316A49"/>
    <w:rsid w:val="00316CDF"/>
    <w:rsid w:val="0031713B"/>
    <w:rsid w:val="00317FB9"/>
    <w:rsid w:val="00320049"/>
    <w:rsid w:val="003200D5"/>
    <w:rsid w:val="00320FD4"/>
    <w:rsid w:val="00321507"/>
    <w:rsid w:val="003215BD"/>
    <w:rsid w:val="00321A74"/>
    <w:rsid w:val="003220B2"/>
    <w:rsid w:val="003223CC"/>
    <w:rsid w:val="003229EB"/>
    <w:rsid w:val="00322BA3"/>
    <w:rsid w:val="00322E30"/>
    <w:rsid w:val="0032302C"/>
    <w:rsid w:val="00323829"/>
    <w:rsid w:val="00323BB2"/>
    <w:rsid w:val="00323F8D"/>
    <w:rsid w:val="0032443B"/>
    <w:rsid w:val="00324D54"/>
    <w:rsid w:val="003260DA"/>
    <w:rsid w:val="00326B82"/>
    <w:rsid w:val="00326DF1"/>
    <w:rsid w:val="003270C9"/>
    <w:rsid w:val="003275E2"/>
    <w:rsid w:val="00327ACE"/>
    <w:rsid w:val="003311FB"/>
    <w:rsid w:val="00331CD7"/>
    <w:rsid w:val="00332219"/>
    <w:rsid w:val="00332998"/>
    <w:rsid w:val="003341D2"/>
    <w:rsid w:val="00334675"/>
    <w:rsid w:val="003346AB"/>
    <w:rsid w:val="00335386"/>
    <w:rsid w:val="00335393"/>
    <w:rsid w:val="00335B10"/>
    <w:rsid w:val="00335DA0"/>
    <w:rsid w:val="0033604D"/>
    <w:rsid w:val="003360EB"/>
    <w:rsid w:val="003360FC"/>
    <w:rsid w:val="00336570"/>
    <w:rsid w:val="003366AB"/>
    <w:rsid w:val="003369EB"/>
    <w:rsid w:val="00337F44"/>
    <w:rsid w:val="0034009C"/>
    <w:rsid w:val="00340828"/>
    <w:rsid w:val="00340973"/>
    <w:rsid w:val="00340AC2"/>
    <w:rsid w:val="00341A3F"/>
    <w:rsid w:val="00342351"/>
    <w:rsid w:val="00342BFF"/>
    <w:rsid w:val="00342CAC"/>
    <w:rsid w:val="00343431"/>
    <w:rsid w:val="00343B38"/>
    <w:rsid w:val="00343CE5"/>
    <w:rsid w:val="00343D41"/>
    <w:rsid w:val="0034461C"/>
    <w:rsid w:val="003454D5"/>
    <w:rsid w:val="00346414"/>
    <w:rsid w:val="00346B80"/>
    <w:rsid w:val="00347A27"/>
    <w:rsid w:val="00350A8F"/>
    <w:rsid w:val="00350AFE"/>
    <w:rsid w:val="003515AE"/>
    <w:rsid w:val="00351BD6"/>
    <w:rsid w:val="003520D0"/>
    <w:rsid w:val="003521FA"/>
    <w:rsid w:val="00352454"/>
    <w:rsid w:val="00352995"/>
    <w:rsid w:val="00352A3E"/>
    <w:rsid w:val="003532B3"/>
    <w:rsid w:val="00353381"/>
    <w:rsid w:val="00353411"/>
    <w:rsid w:val="003540D4"/>
    <w:rsid w:val="00354317"/>
    <w:rsid w:val="00354FD9"/>
    <w:rsid w:val="003553AB"/>
    <w:rsid w:val="00355C02"/>
    <w:rsid w:val="00356224"/>
    <w:rsid w:val="00356344"/>
    <w:rsid w:val="0035649C"/>
    <w:rsid w:val="0035653C"/>
    <w:rsid w:val="00356629"/>
    <w:rsid w:val="00356631"/>
    <w:rsid w:val="00356DC0"/>
    <w:rsid w:val="003572DD"/>
    <w:rsid w:val="00357C43"/>
    <w:rsid w:val="00357CB3"/>
    <w:rsid w:val="00360D48"/>
    <w:rsid w:val="003616E9"/>
    <w:rsid w:val="003617A9"/>
    <w:rsid w:val="00361A21"/>
    <w:rsid w:val="00361C0E"/>
    <w:rsid w:val="00362739"/>
    <w:rsid w:val="003634DC"/>
    <w:rsid w:val="0036409C"/>
    <w:rsid w:val="003640A0"/>
    <w:rsid w:val="003642D5"/>
    <w:rsid w:val="0036487E"/>
    <w:rsid w:val="00364BF9"/>
    <w:rsid w:val="003651FC"/>
    <w:rsid w:val="003655A5"/>
    <w:rsid w:val="003657D4"/>
    <w:rsid w:val="00365B35"/>
    <w:rsid w:val="0036629E"/>
    <w:rsid w:val="003666E5"/>
    <w:rsid w:val="00366B8C"/>
    <w:rsid w:val="003673DF"/>
    <w:rsid w:val="00367E40"/>
    <w:rsid w:val="00370670"/>
    <w:rsid w:val="00371005"/>
    <w:rsid w:val="003712B1"/>
    <w:rsid w:val="00371A6E"/>
    <w:rsid w:val="00372CB1"/>
    <w:rsid w:val="00372D4C"/>
    <w:rsid w:val="0037388D"/>
    <w:rsid w:val="00374D83"/>
    <w:rsid w:val="00374F4A"/>
    <w:rsid w:val="00375846"/>
    <w:rsid w:val="00375C44"/>
    <w:rsid w:val="00376205"/>
    <w:rsid w:val="00376753"/>
    <w:rsid w:val="00376E96"/>
    <w:rsid w:val="003779F2"/>
    <w:rsid w:val="00377E82"/>
    <w:rsid w:val="0038027A"/>
    <w:rsid w:val="003809FF"/>
    <w:rsid w:val="00381611"/>
    <w:rsid w:val="00381B05"/>
    <w:rsid w:val="00381C9B"/>
    <w:rsid w:val="00382023"/>
    <w:rsid w:val="0038209D"/>
    <w:rsid w:val="00382D64"/>
    <w:rsid w:val="00382EEE"/>
    <w:rsid w:val="00383820"/>
    <w:rsid w:val="0038435A"/>
    <w:rsid w:val="003845B7"/>
    <w:rsid w:val="00385191"/>
    <w:rsid w:val="003851C0"/>
    <w:rsid w:val="0038522E"/>
    <w:rsid w:val="00385EF2"/>
    <w:rsid w:val="0038713F"/>
    <w:rsid w:val="00387281"/>
    <w:rsid w:val="003877C5"/>
    <w:rsid w:val="00387E9B"/>
    <w:rsid w:val="003910A7"/>
    <w:rsid w:val="00391324"/>
    <w:rsid w:val="0039136F"/>
    <w:rsid w:val="00391AC4"/>
    <w:rsid w:val="00391AFD"/>
    <w:rsid w:val="00391B7A"/>
    <w:rsid w:val="00391C72"/>
    <w:rsid w:val="00392132"/>
    <w:rsid w:val="00392399"/>
    <w:rsid w:val="00392446"/>
    <w:rsid w:val="00392602"/>
    <w:rsid w:val="003926BC"/>
    <w:rsid w:val="00392966"/>
    <w:rsid w:val="00392F9D"/>
    <w:rsid w:val="003932AD"/>
    <w:rsid w:val="00393497"/>
    <w:rsid w:val="0039461B"/>
    <w:rsid w:val="003951EC"/>
    <w:rsid w:val="003954A5"/>
    <w:rsid w:val="00395B49"/>
    <w:rsid w:val="003961DD"/>
    <w:rsid w:val="003A05F1"/>
    <w:rsid w:val="003A2A61"/>
    <w:rsid w:val="003A2CCC"/>
    <w:rsid w:val="003A3050"/>
    <w:rsid w:val="003A33C3"/>
    <w:rsid w:val="003A3B1C"/>
    <w:rsid w:val="003A4BC8"/>
    <w:rsid w:val="003A4F5C"/>
    <w:rsid w:val="003A5A9B"/>
    <w:rsid w:val="003A5C72"/>
    <w:rsid w:val="003A6952"/>
    <w:rsid w:val="003A6B59"/>
    <w:rsid w:val="003A6CB8"/>
    <w:rsid w:val="003A6E8D"/>
    <w:rsid w:val="003A6FEC"/>
    <w:rsid w:val="003A7235"/>
    <w:rsid w:val="003A796F"/>
    <w:rsid w:val="003A7BBC"/>
    <w:rsid w:val="003A7DC1"/>
    <w:rsid w:val="003B0CFF"/>
    <w:rsid w:val="003B13D6"/>
    <w:rsid w:val="003B207F"/>
    <w:rsid w:val="003B268B"/>
    <w:rsid w:val="003B335C"/>
    <w:rsid w:val="003B3B74"/>
    <w:rsid w:val="003B429C"/>
    <w:rsid w:val="003B4B13"/>
    <w:rsid w:val="003B5032"/>
    <w:rsid w:val="003B53FC"/>
    <w:rsid w:val="003B5417"/>
    <w:rsid w:val="003B57E0"/>
    <w:rsid w:val="003B58A3"/>
    <w:rsid w:val="003B6583"/>
    <w:rsid w:val="003B7C3E"/>
    <w:rsid w:val="003B7CA2"/>
    <w:rsid w:val="003C024F"/>
    <w:rsid w:val="003C03AB"/>
    <w:rsid w:val="003C1D3C"/>
    <w:rsid w:val="003C2178"/>
    <w:rsid w:val="003C221E"/>
    <w:rsid w:val="003C29D1"/>
    <w:rsid w:val="003C3529"/>
    <w:rsid w:val="003C3EF2"/>
    <w:rsid w:val="003C445C"/>
    <w:rsid w:val="003C48F6"/>
    <w:rsid w:val="003C4CBF"/>
    <w:rsid w:val="003C65F0"/>
    <w:rsid w:val="003C6F36"/>
    <w:rsid w:val="003C7B0E"/>
    <w:rsid w:val="003C7FE3"/>
    <w:rsid w:val="003D0155"/>
    <w:rsid w:val="003D02E5"/>
    <w:rsid w:val="003D1899"/>
    <w:rsid w:val="003D1DC4"/>
    <w:rsid w:val="003D2417"/>
    <w:rsid w:val="003D296B"/>
    <w:rsid w:val="003D2BDB"/>
    <w:rsid w:val="003D302A"/>
    <w:rsid w:val="003D3199"/>
    <w:rsid w:val="003D3A31"/>
    <w:rsid w:val="003D3C40"/>
    <w:rsid w:val="003D4482"/>
    <w:rsid w:val="003D595D"/>
    <w:rsid w:val="003D5EAC"/>
    <w:rsid w:val="003D6A7D"/>
    <w:rsid w:val="003D6C57"/>
    <w:rsid w:val="003D6C85"/>
    <w:rsid w:val="003D7450"/>
    <w:rsid w:val="003D7805"/>
    <w:rsid w:val="003D79F0"/>
    <w:rsid w:val="003D7A17"/>
    <w:rsid w:val="003D7D7B"/>
    <w:rsid w:val="003D7DDF"/>
    <w:rsid w:val="003E02E8"/>
    <w:rsid w:val="003E156D"/>
    <w:rsid w:val="003E21EB"/>
    <w:rsid w:val="003E2A14"/>
    <w:rsid w:val="003E2A75"/>
    <w:rsid w:val="003E31AE"/>
    <w:rsid w:val="003E422B"/>
    <w:rsid w:val="003E42E5"/>
    <w:rsid w:val="003E435F"/>
    <w:rsid w:val="003E5031"/>
    <w:rsid w:val="003E57AA"/>
    <w:rsid w:val="003E580F"/>
    <w:rsid w:val="003E64CC"/>
    <w:rsid w:val="003E7137"/>
    <w:rsid w:val="003E7962"/>
    <w:rsid w:val="003E7A97"/>
    <w:rsid w:val="003F064D"/>
    <w:rsid w:val="003F201C"/>
    <w:rsid w:val="003F2D90"/>
    <w:rsid w:val="003F3ABF"/>
    <w:rsid w:val="003F5AB8"/>
    <w:rsid w:val="003F658C"/>
    <w:rsid w:val="003F6999"/>
    <w:rsid w:val="003F75E0"/>
    <w:rsid w:val="003F7F43"/>
    <w:rsid w:val="0040061E"/>
    <w:rsid w:val="00400E8A"/>
    <w:rsid w:val="004014ED"/>
    <w:rsid w:val="00401859"/>
    <w:rsid w:val="00401993"/>
    <w:rsid w:val="00402368"/>
    <w:rsid w:val="00402DB4"/>
    <w:rsid w:val="00402F73"/>
    <w:rsid w:val="0040324D"/>
    <w:rsid w:val="004033E2"/>
    <w:rsid w:val="0040358B"/>
    <w:rsid w:val="0040437B"/>
    <w:rsid w:val="00404888"/>
    <w:rsid w:val="00404EF0"/>
    <w:rsid w:val="00406074"/>
    <w:rsid w:val="00406939"/>
    <w:rsid w:val="004072AF"/>
    <w:rsid w:val="0040764E"/>
    <w:rsid w:val="004076D3"/>
    <w:rsid w:val="0040791C"/>
    <w:rsid w:val="00407A6D"/>
    <w:rsid w:val="00410EFB"/>
    <w:rsid w:val="004112A9"/>
    <w:rsid w:val="0041142F"/>
    <w:rsid w:val="0041216A"/>
    <w:rsid w:val="004121BD"/>
    <w:rsid w:val="004124D4"/>
    <w:rsid w:val="00412549"/>
    <w:rsid w:val="00412956"/>
    <w:rsid w:val="004132EF"/>
    <w:rsid w:val="00413675"/>
    <w:rsid w:val="00413763"/>
    <w:rsid w:val="004137CA"/>
    <w:rsid w:val="00413864"/>
    <w:rsid w:val="00413B4B"/>
    <w:rsid w:val="0041413A"/>
    <w:rsid w:val="00414C37"/>
    <w:rsid w:val="00414F47"/>
    <w:rsid w:val="00414FA6"/>
    <w:rsid w:val="00415341"/>
    <w:rsid w:val="00415540"/>
    <w:rsid w:val="00415CBF"/>
    <w:rsid w:val="00415E36"/>
    <w:rsid w:val="0041610F"/>
    <w:rsid w:val="00416374"/>
    <w:rsid w:val="00416C4C"/>
    <w:rsid w:val="0041709B"/>
    <w:rsid w:val="004171D5"/>
    <w:rsid w:val="004178B2"/>
    <w:rsid w:val="00417E2C"/>
    <w:rsid w:val="00420A69"/>
    <w:rsid w:val="004214C5"/>
    <w:rsid w:val="00421857"/>
    <w:rsid w:val="00421DDA"/>
    <w:rsid w:val="0042229A"/>
    <w:rsid w:val="00423086"/>
    <w:rsid w:val="004232FC"/>
    <w:rsid w:val="00423A8A"/>
    <w:rsid w:val="004240CA"/>
    <w:rsid w:val="00425D42"/>
    <w:rsid w:val="00426E55"/>
    <w:rsid w:val="00426FA0"/>
    <w:rsid w:val="0042746A"/>
    <w:rsid w:val="00427AA5"/>
    <w:rsid w:val="00430BA6"/>
    <w:rsid w:val="00430C18"/>
    <w:rsid w:val="00430EA1"/>
    <w:rsid w:val="0043155D"/>
    <w:rsid w:val="0043185A"/>
    <w:rsid w:val="00431C57"/>
    <w:rsid w:val="00432967"/>
    <w:rsid w:val="00433559"/>
    <w:rsid w:val="00433728"/>
    <w:rsid w:val="00433929"/>
    <w:rsid w:val="004344EB"/>
    <w:rsid w:val="00435012"/>
    <w:rsid w:val="00436038"/>
    <w:rsid w:val="00436602"/>
    <w:rsid w:val="004368F3"/>
    <w:rsid w:val="00437B6A"/>
    <w:rsid w:val="00437D7E"/>
    <w:rsid w:val="004401F3"/>
    <w:rsid w:val="004405DD"/>
    <w:rsid w:val="00440692"/>
    <w:rsid w:val="00440F12"/>
    <w:rsid w:val="004411F3"/>
    <w:rsid w:val="004415C8"/>
    <w:rsid w:val="0044188A"/>
    <w:rsid w:val="0044226B"/>
    <w:rsid w:val="0044237E"/>
    <w:rsid w:val="0044244B"/>
    <w:rsid w:val="00442F8C"/>
    <w:rsid w:val="00443266"/>
    <w:rsid w:val="00443752"/>
    <w:rsid w:val="004442D6"/>
    <w:rsid w:val="00444EBA"/>
    <w:rsid w:val="0044552A"/>
    <w:rsid w:val="00445BDF"/>
    <w:rsid w:val="00445E3D"/>
    <w:rsid w:val="004464CC"/>
    <w:rsid w:val="00446AAD"/>
    <w:rsid w:val="00446D11"/>
    <w:rsid w:val="00446EF0"/>
    <w:rsid w:val="0044733F"/>
    <w:rsid w:val="0045141B"/>
    <w:rsid w:val="004515C6"/>
    <w:rsid w:val="004516C7"/>
    <w:rsid w:val="00451704"/>
    <w:rsid w:val="00451CD6"/>
    <w:rsid w:val="00452820"/>
    <w:rsid w:val="0045349F"/>
    <w:rsid w:val="004534C4"/>
    <w:rsid w:val="00453FC8"/>
    <w:rsid w:val="0045484E"/>
    <w:rsid w:val="00454F9B"/>
    <w:rsid w:val="004557D4"/>
    <w:rsid w:val="00455A38"/>
    <w:rsid w:val="0045697E"/>
    <w:rsid w:val="00456B96"/>
    <w:rsid w:val="004573CE"/>
    <w:rsid w:val="00457571"/>
    <w:rsid w:val="00457C0D"/>
    <w:rsid w:val="00460680"/>
    <w:rsid w:val="00460CA1"/>
    <w:rsid w:val="004610AB"/>
    <w:rsid w:val="004610BB"/>
    <w:rsid w:val="00461D21"/>
    <w:rsid w:val="00462276"/>
    <w:rsid w:val="00462DA3"/>
    <w:rsid w:val="004638ED"/>
    <w:rsid w:val="00463BFA"/>
    <w:rsid w:val="00463CB6"/>
    <w:rsid w:val="00465070"/>
    <w:rsid w:val="004662CB"/>
    <w:rsid w:val="00466421"/>
    <w:rsid w:val="00466482"/>
    <w:rsid w:val="004666BC"/>
    <w:rsid w:val="00466A3B"/>
    <w:rsid w:val="00466FD6"/>
    <w:rsid w:val="00470025"/>
    <w:rsid w:val="004716BC"/>
    <w:rsid w:val="00471A62"/>
    <w:rsid w:val="00472D1E"/>
    <w:rsid w:val="00472D7E"/>
    <w:rsid w:val="004733FE"/>
    <w:rsid w:val="004737AC"/>
    <w:rsid w:val="0047384D"/>
    <w:rsid w:val="00473D4B"/>
    <w:rsid w:val="00474DB0"/>
    <w:rsid w:val="00475325"/>
    <w:rsid w:val="00475B08"/>
    <w:rsid w:val="00475E8C"/>
    <w:rsid w:val="0047619F"/>
    <w:rsid w:val="00476D37"/>
    <w:rsid w:val="00476F1D"/>
    <w:rsid w:val="00477426"/>
    <w:rsid w:val="00477983"/>
    <w:rsid w:val="00477A45"/>
    <w:rsid w:val="004801BF"/>
    <w:rsid w:val="0048169D"/>
    <w:rsid w:val="0048279C"/>
    <w:rsid w:val="00482953"/>
    <w:rsid w:val="00482B8A"/>
    <w:rsid w:val="00482F4F"/>
    <w:rsid w:val="004831CF"/>
    <w:rsid w:val="00483200"/>
    <w:rsid w:val="004838B1"/>
    <w:rsid w:val="004842CD"/>
    <w:rsid w:val="00484F06"/>
    <w:rsid w:val="0048524D"/>
    <w:rsid w:val="0048667A"/>
    <w:rsid w:val="00486726"/>
    <w:rsid w:val="0048680F"/>
    <w:rsid w:val="004903D6"/>
    <w:rsid w:val="00490ABA"/>
    <w:rsid w:val="00491AE3"/>
    <w:rsid w:val="00491C7D"/>
    <w:rsid w:val="0049221A"/>
    <w:rsid w:val="00492E5E"/>
    <w:rsid w:val="00493294"/>
    <w:rsid w:val="00496030"/>
    <w:rsid w:val="00496D2B"/>
    <w:rsid w:val="00496ED6"/>
    <w:rsid w:val="00497972"/>
    <w:rsid w:val="004A07FA"/>
    <w:rsid w:val="004A0DB9"/>
    <w:rsid w:val="004A14C3"/>
    <w:rsid w:val="004A212B"/>
    <w:rsid w:val="004A21B4"/>
    <w:rsid w:val="004A2753"/>
    <w:rsid w:val="004A2C90"/>
    <w:rsid w:val="004A2EEE"/>
    <w:rsid w:val="004A35CE"/>
    <w:rsid w:val="004A3835"/>
    <w:rsid w:val="004A3ED2"/>
    <w:rsid w:val="004A4C08"/>
    <w:rsid w:val="004A4C30"/>
    <w:rsid w:val="004A565E"/>
    <w:rsid w:val="004A774C"/>
    <w:rsid w:val="004A7842"/>
    <w:rsid w:val="004B04F7"/>
    <w:rsid w:val="004B07AB"/>
    <w:rsid w:val="004B0A2E"/>
    <w:rsid w:val="004B0B50"/>
    <w:rsid w:val="004B0C6A"/>
    <w:rsid w:val="004B15C6"/>
    <w:rsid w:val="004B20D1"/>
    <w:rsid w:val="004B2507"/>
    <w:rsid w:val="004B29EF"/>
    <w:rsid w:val="004B46C2"/>
    <w:rsid w:val="004B49F8"/>
    <w:rsid w:val="004B4E97"/>
    <w:rsid w:val="004B56B4"/>
    <w:rsid w:val="004B59AB"/>
    <w:rsid w:val="004B5C5D"/>
    <w:rsid w:val="004B6F6A"/>
    <w:rsid w:val="004B79B5"/>
    <w:rsid w:val="004C0112"/>
    <w:rsid w:val="004C10EB"/>
    <w:rsid w:val="004C11D5"/>
    <w:rsid w:val="004C1772"/>
    <w:rsid w:val="004C1C6E"/>
    <w:rsid w:val="004C3209"/>
    <w:rsid w:val="004C3273"/>
    <w:rsid w:val="004C34D5"/>
    <w:rsid w:val="004C36C7"/>
    <w:rsid w:val="004C3863"/>
    <w:rsid w:val="004C3A14"/>
    <w:rsid w:val="004C46C4"/>
    <w:rsid w:val="004C5038"/>
    <w:rsid w:val="004C5942"/>
    <w:rsid w:val="004C5A39"/>
    <w:rsid w:val="004C5C60"/>
    <w:rsid w:val="004C6512"/>
    <w:rsid w:val="004C6841"/>
    <w:rsid w:val="004C6E25"/>
    <w:rsid w:val="004C6F5A"/>
    <w:rsid w:val="004C7375"/>
    <w:rsid w:val="004D17B4"/>
    <w:rsid w:val="004D1A70"/>
    <w:rsid w:val="004D1C7F"/>
    <w:rsid w:val="004D1E43"/>
    <w:rsid w:val="004D2DE6"/>
    <w:rsid w:val="004D322C"/>
    <w:rsid w:val="004D3407"/>
    <w:rsid w:val="004D3B47"/>
    <w:rsid w:val="004D3B68"/>
    <w:rsid w:val="004D3EBB"/>
    <w:rsid w:val="004D4895"/>
    <w:rsid w:val="004D4C86"/>
    <w:rsid w:val="004D584C"/>
    <w:rsid w:val="004D5A04"/>
    <w:rsid w:val="004D5E62"/>
    <w:rsid w:val="004D6AEA"/>
    <w:rsid w:val="004D7130"/>
    <w:rsid w:val="004D7388"/>
    <w:rsid w:val="004D7452"/>
    <w:rsid w:val="004D7508"/>
    <w:rsid w:val="004D7888"/>
    <w:rsid w:val="004D7F08"/>
    <w:rsid w:val="004D7F83"/>
    <w:rsid w:val="004E013D"/>
    <w:rsid w:val="004E17AF"/>
    <w:rsid w:val="004E1C83"/>
    <w:rsid w:val="004E230E"/>
    <w:rsid w:val="004E233C"/>
    <w:rsid w:val="004E2BCF"/>
    <w:rsid w:val="004E30C7"/>
    <w:rsid w:val="004E331B"/>
    <w:rsid w:val="004E3DCA"/>
    <w:rsid w:val="004E40A1"/>
    <w:rsid w:val="004E4336"/>
    <w:rsid w:val="004E45BB"/>
    <w:rsid w:val="004E4676"/>
    <w:rsid w:val="004E5F19"/>
    <w:rsid w:val="004E6CBA"/>
    <w:rsid w:val="004E70BB"/>
    <w:rsid w:val="004E750D"/>
    <w:rsid w:val="004F01ED"/>
    <w:rsid w:val="004F05DB"/>
    <w:rsid w:val="004F06CE"/>
    <w:rsid w:val="004F08C3"/>
    <w:rsid w:val="004F12C6"/>
    <w:rsid w:val="004F2834"/>
    <w:rsid w:val="004F2952"/>
    <w:rsid w:val="004F2BFC"/>
    <w:rsid w:val="004F2CC2"/>
    <w:rsid w:val="004F335C"/>
    <w:rsid w:val="004F3B0C"/>
    <w:rsid w:val="004F3F71"/>
    <w:rsid w:val="004F4762"/>
    <w:rsid w:val="004F49EE"/>
    <w:rsid w:val="004F5908"/>
    <w:rsid w:val="004F5A17"/>
    <w:rsid w:val="004F5BE6"/>
    <w:rsid w:val="004F654B"/>
    <w:rsid w:val="004F68F5"/>
    <w:rsid w:val="004F6BBB"/>
    <w:rsid w:val="004F6CC9"/>
    <w:rsid w:val="005009BC"/>
    <w:rsid w:val="00500CF4"/>
    <w:rsid w:val="00500F73"/>
    <w:rsid w:val="005015E3"/>
    <w:rsid w:val="00501D0F"/>
    <w:rsid w:val="00501D4F"/>
    <w:rsid w:val="00501DBB"/>
    <w:rsid w:val="00501F5A"/>
    <w:rsid w:val="005036A5"/>
    <w:rsid w:val="005037AA"/>
    <w:rsid w:val="00503838"/>
    <w:rsid w:val="00503F2C"/>
    <w:rsid w:val="00505268"/>
    <w:rsid w:val="00505F7A"/>
    <w:rsid w:val="00506274"/>
    <w:rsid w:val="005062FC"/>
    <w:rsid w:val="005070CF"/>
    <w:rsid w:val="00507A53"/>
    <w:rsid w:val="005111EA"/>
    <w:rsid w:val="00511692"/>
    <w:rsid w:val="005120BD"/>
    <w:rsid w:val="00512B04"/>
    <w:rsid w:val="00512E78"/>
    <w:rsid w:val="00513CB2"/>
    <w:rsid w:val="00513CFF"/>
    <w:rsid w:val="00515613"/>
    <w:rsid w:val="00515691"/>
    <w:rsid w:val="00516332"/>
    <w:rsid w:val="0051658D"/>
    <w:rsid w:val="00516A4B"/>
    <w:rsid w:val="00516C9D"/>
    <w:rsid w:val="00517034"/>
    <w:rsid w:val="005176D3"/>
    <w:rsid w:val="00517D35"/>
    <w:rsid w:val="00520A27"/>
    <w:rsid w:val="0052169B"/>
    <w:rsid w:val="005219B0"/>
    <w:rsid w:val="00521C13"/>
    <w:rsid w:val="00521DA5"/>
    <w:rsid w:val="00522CB1"/>
    <w:rsid w:val="0052324A"/>
    <w:rsid w:val="005237B0"/>
    <w:rsid w:val="00523B9F"/>
    <w:rsid w:val="00523BBC"/>
    <w:rsid w:val="005241C3"/>
    <w:rsid w:val="0052476E"/>
    <w:rsid w:val="0052495D"/>
    <w:rsid w:val="00525728"/>
    <w:rsid w:val="005260E2"/>
    <w:rsid w:val="005264B4"/>
    <w:rsid w:val="005266C6"/>
    <w:rsid w:val="005270EB"/>
    <w:rsid w:val="00527111"/>
    <w:rsid w:val="00527BDE"/>
    <w:rsid w:val="0053186E"/>
    <w:rsid w:val="005320DF"/>
    <w:rsid w:val="005327DA"/>
    <w:rsid w:val="005330AC"/>
    <w:rsid w:val="0053338B"/>
    <w:rsid w:val="00533583"/>
    <w:rsid w:val="00533A16"/>
    <w:rsid w:val="005347F6"/>
    <w:rsid w:val="00534CAE"/>
    <w:rsid w:val="005354E3"/>
    <w:rsid w:val="00537A36"/>
    <w:rsid w:val="005403D4"/>
    <w:rsid w:val="005404E1"/>
    <w:rsid w:val="00540805"/>
    <w:rsid w:val="00540A23"/>
    <w:rsid w:val="00541219"/>
    <w:rsid w:val="0054157D"/>
    <w:rsid w:val="005421AC"/>
    <w:rsid w:val="00542762"/>
    <w:rsid w:val="0054375E"/>
    <w:rsid w:val="00543919"/>
    <w:rsid w:val="00543C12"/>
    <w:rsid w:val="005440CE"/>
    <w:rsid w:val="00544543"/>
    <w:rsid w:val="00544A62"/>
    <w:rsid w:val="00545951"/>
    <w:rsid w:val="005460D1"/>
    <w:rsid w:val="005463BA"/>
    <w:rsid w:val="005474D9"/>
    <w:rsid w:val="00547DE2"/>
    <w:rsid w:val="00547E96"/>
    <w:rsid w:val="00547FA9"/>
    <w:rsid w:val="00550911"/>
    <w:rsid w:val="00550AC0"/>
    <w:rsid w:val="00551279"/>
    <w:rsid w:val="005518A7"/>
    <w:rsid w:val="00552134"/>
    <w:rsid w:val="005525AA"/>
    <w:rsid w:val="00552772"/>
    <w:rsid w:val="00552B9D"/>
    <w:rsid w:val="00553B69"/>
    <w:rsid w:val="00554265"/>
    <w:rsid w:val="00554821"/>
    <w:rsid w:val="00554E38"/>
    <w:rsid w:val="005551AC"/>
    <w:rsid w:val="0055580F"/>
    <w:rsid w:val="005560B1"/>
    <w:rsid w:val="005565F3"/>
    <w:rsid w:val="00556FC5"/>
    <w:rsid w:val="00557CE6"/>
    <w:rsid w:val="00557D2C"/>
    <w:rsid w:val="00560050"/>
    <w:rsid w:val="00560164"/>
    <w:rsid w:val="005604FA"/>
    <w:rsid w:val="005611DD"/>
    <w:rsid w:val="00561D28"/>
    <w:rsid w:val="0056242B"/>
    <w:rsid w:val="00562C94"/>
    <w:rsid w:val="0056326D"/>
    <w:rsid w:val="00563810"/>
    <w:rsid w:val="00563820"/>
    <w:rsid w:val="00563862"/>
    <w:rsid w:val="005648D7"/>
    <w:rsid w:val="00564D48"/>
    <w:rsid w:val="00565272"/>
    <w:rsid w:val="005657A5"/>
    <w:rsid w:val="00565DEE"/>
    <w:rsid w:val="00565E7E"/>
    <w:rsid w:val="005660AC"/>
    <w:rsid w:val="00566916"/>
    <w:rsid w:val="005678F3"/>
    <w:rsid w:val="00567C35"/>
    <w:rsid w:val="00567D54"/>
    <w:rsid w:val="00567E77"/>
    <w:rsid w:val="005700FB"/>
    <w:rsid w:val="005704B4"/>
    <w:rsid w:val="005704F1"/>
    <w:rsid w:val="00571476"/>
    <w:rsid w:val="005716A2"/>
    <w:rsid w:val="00571C28"/>
    <w:rsid w:val="00572108"/>
    <w:rsid w:val="00572163"/>
    <w:rsid w:val="0057291D"/>
    <w:rsid w:val="00572E2B"/>
    <w:rsid w:val="00574F9F"/>
    <w:rsid w:val="00576360"/>
    <w:rsid w:val="005771B4"/>
    <w:rsid w:val="00577A96"/>
    <w:rsid w:val="00580266"/>
    <w:rsid w:val="00580E9A"/>
    <w:rsid w:val="00581870"/>
    <w:rsid w:val="00582FA6"/>
    <w:rsid w:val="00583810"/>
    <w:rsid w:val="00584044"/>
    <w:rsid w:val="0058470A"/>
    <w:rsid w:val="00584A8D"/>
    <w:rsid w:val="00584CF4"/>
    <w:rsid w:val="00585395"/>
    <w:rsid w:val="005854FA"/>
    <w:rsid w:val="00585ADC"/>
    <w:rsid w:val="00585E29"/>
    <w:rsid w:val="00586581"/>
    <w:rsid w:val="00586894"/>
    <w:rsid w:val="00587580"/>
    <w:rsid w:val="00587D90"/>
    <w:rsid w:val="00587E51"/>
    <w:rsid w:val="0059011C"/>
    <w:rsid w:val="0059121D"/>
    <w:rsid w:val="005918A1"/>
    <w:rsid w:val="005919CC"/>
    <w:rsid w:val="00592313"/>
    <w:rsid w:val="00592528"/>
    <w:rsid w:val="005929FC"/>
    <w:rsid w:val="00592D50"/>
    <w:rsid w:val="0059428D"/>
    <w:rsid w:val="00594735"/>
    <w:rsid w:val="005948E1"/>
    <w:rsid w:val="00594E5F"/>
    <w:rsid w:val="00594FAC"/>
    <w:rsid w:val="00595751"/>
    <w:rsid w:val="005963ED"/>
    <w:rsid w:val="00596715"/>
    <w:rsid w:val="00596E92"/>
    <w:rsid w:val="0059701F"/>
    <w:rsid w:val="0059738B"/>
    <w:rsid w:val="005A0006"/>
    <w:rsid w:val="005A0E73"/>
    <w:rsid w:val="005A1450"/>
    <w:rsid w:val="005A154C"/>
    <w:rsid w:val="005A170D"/>
    <w:rsid w:val="005A1F5B"/>
    <w:rsid w:val="005A2F27"/>
    <w:rsid w:val="005A3366"/>
    <w:rsid w:val="005A353E"/>
    <w:rsid w:val="005A3E7E"/>
    <w:rsid w:val="005A47FE"/>
    <w:rsid w:val="005A4AF9"/>
    <w:rsid w:val="005A4B7F"/>
    <w:rsid w:val="005A4BD4"/>
    <w:rsid w:val="005A4D1F"/>
    <w:rsid w:val="005A61E3"/>
    <w:rsid w:val="005A6E4A"/>
    <w:rsid w:val="005A6EE0"/>
    <w:rsid w:val="005A7E41"/>
    <w:rsid w:val="005B04AD"/>
    <w:rsid w:val="005B11E2"/>
    <w:rsid w:val="005B1D7D"/>
    <w:rsid w:val="005B1F60"/>
    <w:rsid w:val="005B2247"/>
    <w:rsid w:val="005B2515"/>
    <w:rsid w:val="005B3BBB"/>
    <w:rsid w:val="005B3D7F"/>
    <w:rsid w:val="005B41DE"/>
    <w:rsid w:val="005B607B"/>
    <w:rsid w:val="005B6406"/>
    <w:rsid w:val="005B6BBD"/>
    <w:rsid w:val="005B6BE9"/>
    <w:rsid w:val="005B72F4"/>
    <w:rsid w:val="005B765F"/>
    <w:rsid w:val="005C24D4"/>
    <w:rsid w:val="005C316C"/>
    <w:rsid w:val="005C3C2F"/>
    <w:rsid w:val="005C3D07"/>
    <w:rsid w:val="005C4C32"/>
    <w:rsid w:val="005C5515"/>
    <w:rsid w:val="005C56F5"/>
    <w:rsid w:val="005C67DE"/>
    <w:rsid w:val="005C6EEC"/>
    <w:rsid w:val="005C790D"/>
    <w:rsid w:val="005C7CDF"/>
    <w:rsid w:val="005D058F"/>
    <w:rsid w:val="005D07F8"/>
    <w:rsid w:val="005D1097"/>
    <w:rsid w:val="005D13E6"/>
    <w:rsid w:val="005D2E3C"/>
    <w:rsid w:val="005D3275"/>
    <w:rsid w:val="005D344A"/>
    <w:rsid w:val="005D38C2"/>
    <w:rsid w:val="005D3B61"/>
    <w:rsid w:val="005D4FF9"/>
    <w:rsid w:val="005D572E"/>
    <w:rsid w:val="005D5C0F"/>
    <w:rsid w:val="005D5CBA"/>
    <w:rsid w:val="005D71BD"/>
    <w:rsid w:val="005D7443"/>
    <w:rsid w:val="005D7741"/>
    <w:rsid w:val="005D7916"/>
    <w:rsid w:val="005E0FF4"/>
    <w:rsid w:val="005E116A"/>
    <w:rsid w:val="005E11C5"/>
    <w:rsid w:val="005E19ED"/>
    <w:rsid w:val="005E1B11"/>
    <w:rsid w:val="005E1C6C"/>
    <w:rsid w:val="005E1D40"/>
    <w:rsid w:val="005E21EF"/>
    <w:rsid w:val="005E2562"/>
    <w:rsid w:val="005E2577"/>
    <w:rsid w:val="005E291C"/>
    <w:rsid w:val="005E313D"/>
    <w:rsid w:val="005E4039"/>
    <w:rsid w:val="005E4DCB"/>
    <w:rsid w:val="005E54C5"/>
    <w:rsid w:val="005E5719"/>
    <w:rsid w:val="005E6EA2"/>
    <w:rsid w:val="005E7B68"/>
    <w:rsid w:val="005F0C96"/>
    <w:rsid w:val="005F1433"/>
    <w:rsid w:val="005F1A1F"/>
    <w:rsid w:val="005F1DC6"/>
    <w:rsid w:val="005F2166"/>
    <w:rsid w:val="005F2480"/>
    <w:rsid w:val="005F28E8"/>
    <w:rsid w:val="005F3015"/>
    <w:rsid w:val="005F384A"/>
    <w:rsid w:val="005F397F"/>
    <w:rsid w:val="005F3C3C"/>
    <w:rsid w:val="005F4099"/>
    <w:rsid w:val="005F4427"/>
    <w:rsid w:val="005F4DC5"/>
    <w:rsid w:val="005F5264"/>
    <w:rsid w:val="005F58B6"/>
    <w:rsid w:val="005F6382"/>
    <w:rsid w:val="005F6C6E"/>
    <w:rsid w:val="005F6E34"/>
    <w:rsid w:val="005F6FF6"/>
    <w:rsid w:val="005F71BC"/>
    <w:rsid w:val="005F7D4F"/>
    <w:rsid w:val="005F7EB4"/>
    <w:rsid w:val="00600868"/>
    <w:rsid w:val="00600D4F"/>
    <w:rsid w:val="006010D3"/>
    <w:rsid w:val="006012EE"/>
    <w:rsid w:val="00601E39"/>
    <w:rsid w:val="006035D7"/>
    <w:rsid w:val="006040E3"/>
    <w:rsid w:val="0060419A"/>
    <w:rsid w:val="00604403"/>
    <w:rsid w:val="00604708"/>
    <w:rsid w:val="00604C74"/>
    <w:rsid w:val="00605188"/>
    <w:rsid w:val="0060530A"/>
    <w:rsid w:val="00605CA4"/>
    <w:rsid w:val="00605E43"/>
    <w:rsid w:val="00605E8B"/>
    <w:rsid w:val="0060636F"/>
    <w:rsid w:val="00606D87"/>
    <w:rsid w:val="00610869"/>
    <w:rsid w:val="00611B1B"/>
    <w:rsid w:val="00611C82"/>
    <w:rsid w:val="006120AF"/>
    <w:rsid w:val="00612516"/>
    <w:rsid w:val="00612EBA"/>
    <w:rsid w:val="006141B1"/>
    <w:rsid w:val="0061459F"/>
    <w:rsid w:val="006150D1"/>
    <w:rsid w:val="00615183"/>
    <w:rsid w:val="00615A32"/>
    <w:rsid w:val="00615E2A"/>
    <w:rsid w:val="006163B8"/>
    <w:rsid w:val="006163E8"/>
    <w:rsid w:val="00616BFE"/>
    <w:rsid w:val="006173BC"/>
    <w:rsid w:val="006173D0"/>
    <w:rsid w:val="0061750A"/>
    <w:rsid w:val="006175C1"/>
    <w:rsid w:val="00617B4B"/>
    <w:rsid w:val="00620100"/>
    <w:rsid w:val="00620654"/>
    <w:rsid w:val="0062094E"/>
    <w:rsid w:val="00620C29"/>
    <w:rsid w:val="00620F7C"/>
    <w:rsid w:val="00621A51"/>
    <w:rsid w:val="0062226D"/>
    <w:rsid w:val="00622A3B"/>
    <w:rsid w:val="00622D17"/>
    <w:rsid w:val="0062302D"/>
    <w:rsid w:val="006234F7"/>
    <w:rsid w:val="006239FD"/>
    <w:rsid w:val="00623D57"/>
    <w:rsid w:val="006246B7"/>
    <w:rsid w:val="00624D7A"/>
    <w:rsid w:val="00625B3E"/>
    <w:rsid w:val="00625F2D"/>
    <w:rsid w:val="006260B3"/>
    <w:rsid w:val="00627231"/>
    <w:rsid w:val="00630400"/>
    <w:rsid w:val="00630581"/>
    <w:rsid w:val="006306ED"/>
    <w:rsid w:val="006309D5"/>
    <w:rsid w:val="00630BF4"/>
    <w:rsid w:val="0063133D"/>
    <w:rsid w:val="00631F4D"/>
    <w:rsid w:val="00632305"/>
    <w:rsid w:val="00633F27"/>
    <w:rsid w:val="00633FC4"/>
    <w:rsid w:val="00634138"/>
    <w:rsid w:val="006342B4"/>
    <w:rsid w:val="00634694"/>
    <w:rsid w:val="006347C1"/>
    <w:rsid w:val="00635FBC"/>
    <w:rsid w:val="00636B42"/>
    <w:rsid w:val="00636B74"/>
    <w:rsid w:val="00637C95"/>
    <w:rsid w:val="00640BE7"/>
    <w:rsid w:val="00640D8A"/>
    <w:rsid w:val="00642285"/>
    <w:rsid w:val="00643E5B"/>
    <w:rsid w:val="00644163"/>
    <w:rsid w:val="00644ACF"/>
    <w:rsid w:val="00644F38"/>
    <w:rsid w:val="0064565B"/>
    <w:rsid w:val="00645DC1"/>
    <w:rsid w:val="006460EA"/>
    <w:rsid w:val="00646A8C"/>
    <w:rsid w:val="00651121"/>
    <w:rsid w:val="006529D4"/>
    <w:rsid w:val="00653212"/>
    <w:rsid w:val="00653943"/>
    <w:rsid w:val="00653A28"/>
    <w:rsid w:val="00654F74"/>
    <w:rsid w:val="006553A5"/>
    <w:rsid w:val="006560A5"/>
    <w:rsid w:val="006561F3"/>
    <w:rsid w:val="006564F4"/>
    <w:rsid w:val="00656BC6"/>
    <w:rsid w:val="006570B7"/>
    <w:rsid w:val="0065791F"/>
    <w:rsid w:val="00657A95"/>
    <w:rsid w:val="006603C5"/>
    <w:rsid w:val="00660660"/>
    <w:rsid w:val="006606E3"/>
    <w:rsid w:val="006606EB"/>
    <w:rsid w:val="006617E0"/>
    <w:rsid w:val="006618A2"/>
    <w:rsid w:val="00661B6A"/>
    <w:rsid w:val="00661FC6"/>
    <w:rsid w:val="00662123"/>
    <w:rsid w:val="0066289C"/>
    <w:rsid w:val="0066311F"/>
    <w:rsid w:val="00663394"/>
    <w:rsid w:val="00663D85"/>
    <w:rsid w:val="00665001"/>
    <w:rsid w:val="00665022"/>
    <w:rsid w:val="00665672"/>
    <w:rsid w:val="00666128"/>
    <w:rsid w:val="00667F54"/>
    <w:rsid w:val="006706B6"/>
    <w:rsid w:val="00670F64"/>
    <w:rsid w:val="00672511"/>
    <w:rsid w:val="006731AD"/>
    <w:rsid w:val="00673B75"/>
    <w:rsid w:val="0067523C"/>
    <w:rsid w:val="006752C4"/>
    <w:rsid w:val="00675C16"/>
    <w:rsid w:val="00675DDA"/>
    <w:rsid w:val="006764ED"/>
    <w:rsid w:val="006766AF"/>
    <w:rsid w:val="00676C36"/>
    <w:rsid w:val="00676D2F"/>
    <w:rsid w:val="00676FA8"/>
    <w:rsid w:val="0067708C"/>
    <w:rsid w:val="00677360"/>
    <w:rsid w:val="0067773C"/>
    <w:rsid w:val="006778A3"/>
    <w:rsid w:val="00677B63"/>
    <w:rsid w:val="006809A3"/>
    <w:rsid w:val="0068204A"/>
    <w:rsid w:val="006820E3"/>
    <w:rsid w:val="0068261A"/>
    <w:rsid w:val="00682D40"/>
    <w:rsid w:val="00682F1F"/>
    <w:rsid w:val="00683D66"/>
    <w:rsid w:val="006842EE"/>
    <w:rsid w:val="00684A3A"/>
    <w:rsid w:val="00684D12"/>
    <w:rsid w:val="00684DF5"/>
    <w:rsid w:val="00684E98"/>
    <w:rsid w:val="00685549"/>
    <w:rsid w:val="0068609D"/>
    <w:rsid w:val="00686297"/>
    <w:rsid w:val="00686570"/>
    <w:rsid w:val="00686A7A"/>
    <w:rsid w:val="00686C32"/>
    <w:rsid w:val="006878FE"/>
    <w:rsid w:val="00690C49"/>
    <w:rsid w:val="00690E03"/>
    <w:rsid w:val="00691396"/>
    <w:rsid w:val="00692547"/>
    <w:rsid w:val="0069317A"/>
    <w:rsid w:val="006936CF"/>
    <w:rsid w:val="00693722"/>
    <w:rsid w:val="00693AEB"/>
    <w:rsid w:val="00693D02"/>
    <w:rsid w:val="00693D09"/>
    <w:rsid w:val="006946D2"/>
    <w:rsid w:val="00695123"/>
    <w:rsid w:val="006951AC"/>
    <w:rsid w:val="006951C1"/>
    <w:rsid w:val="00695305"/>
    <w:rsid w:val="00695794"/>
    <w:rsid w:val="00695880"/>
    <w:rsid w:val="00695C1B"/>
    <w:rsid w:val="006965A3"/>
    <w:rsid w:val="00697968"/>
    <w:rsid w:val="00697B05"/>
    <w:rsid w:val="006A0A2C"/>
    <w:rsid w:val="006A0B8D"/>
    <w:rsid w:val="006A12C2"/>
    <w:rsid w:val="006A1E46"/>
    <w:rsid w:val="006A2461"/>
    <w:rsid w:val="006A28E9"/>
    <w:rsid w:val="006A3476"/>
    <w:rsid w:val="006A3579"/>
    <w:rsid w:val="006A3FF6"/>
    <w:rsid w:val="006A404A"/>
    <w:rsid w:val="006A44AA"/>
    <w:rsid w:val="006A5693"/>
    <w:rsid w:val="006A6681"/>
    <w:rsid w:val="006A6A20"/>
    <w:rsid w:val="006A6E1C"/>
    <w:rsid w:val="006A6F22"/>
    <w:rsid w:val="006A7EA2"/>
    <w:rsid w:val="006B021E"/>
    <w:rsid w:val="006B06A4"/>
    <w:rsid w:val="006B2013"/>
    <w:rsid w:val="006B2749"/>
    <w:rsid w:val="006B27F7"/>
    <w:rsid w:val="006B2B09"/>
    <w:rsid w:val="006B4682"/>
    <w:rsid w:val="006B4C87"/>
    <w:rsid w:val="006B5B85"/>
    <w:rsid w:val="006B5DA3"/>
    <w:rsid w:val="006B6169"/>
    <w:rsid w:val="006C0621"/>
    <w:rsid w:val="006C09FB"/>
    <w:rsid w:val="006C0ACC"/>
    <w:rsid w:val="006C0DAF"/>
    <w:rsid w:val="006C0ECA"/>
    <w:rsid w:val="006C1EB1"/>
    <w:rsid w:val="006C27E8"/>
    <w:rsid w:val="006C282B"/>
    <w:rsid w:val="006C296A"/>
    <w:rsid w:val="006C29FB"/>
    <w:rsid w:val="006C2CE1"/>
    <w:rsid w:val="006C2EF9"/>
    <w:rsid w:val="006C3460"/>
    <w:rsid w:val="006C3A06"/>
    <w:rsid w:val="006C40CB"/>
    <w:rsid w:val="006C4AF9"/>
    <w:rsid w:val="006C505B"/>
    <w:rsid w:val="006C6C07"/>
    <w:rsid w:val="006C757F"/>
    <w:rsid w:val="006D1881"/>
    <w:rsid w:val="006D1C14"/>
    <w:rsid w:val="006D2650"/>
    <w:rsid w:val="006D301E"/>
    <w:rsid w:val="006D3F8F"/>
    <w:rsid w:val="006D4B6A"/>
    <w:rsid w:val="006D4F1A"/>
    <w:rsid w:val="006D4FFA"/>
    <w:rsid w:val="006D540C"/>
    <w:rsid w:val="006D5660"/>
    <w:rsid w:val="006D5BF0"/>
    <w:rsid w:val="006D6B30"/>
    <w:rsid w:val="006D7862"/>
    <w:rsid w:val="006D7DCF"/>
    <w:rsid w:val="006E0538"/>
    <w:rsid w:val="006E071A"/>
    <w:rsid w:val="006E099F"/>
    <w:rsid w:val="006E109A"/>
    <w:rsid w:val="006E1821"/>
    <w:rsid w:val="006E1C32"/>
    <w:rsid w:val="006E2676"/>
    <w:rsid w:val="006E2B79"/>
    <w:rsid w:val="006E2E0B"/>
    <w:rsid w:val="006E3896"/>
    <w:rsid w:val="006E39C8"/>
    <w:rsid w:val="006E50D5"/>
    <w:rsid w:val="006E5164"/>
    <w:rsid w:val="006E5E59"/>
    <w:rsid w:val="006E608C"/>
    <w:rsid w:val="006E60F0"/>
    <w:rsid w:val="006E6219"/>
    <w:rsid w:val="006E6C02"/>
    <w:rsid w:val="006E7434"/>
    <w:rsid w:val="006F334E"/>
    <w:rsid w:val="006F3609"/>
    <w:rsid w:val="006F4149"/>
    <w:rsid w:val="006F4ABF"/>
    <w:rsid w:val="006F517E"/>
    <w:rsid w:val="006F51FB"/>
    <w:rsid w:val="006F563D"/>
    <w:rsid w:val="006F6138"/>
    <w:rsid w:val="006F636F"/>
    <w:rsid w:val="006F6BE4"/>
    <w:rsid w:val="006F7CAA"/>
    <w:rsid w:val="006F7DA7"/>
    <w:rsid w:val="0070038D"/>
    <w:rsid w:val="007005C2"/>
    <w:rsid w:val="00700755"/>
    <w:rsid w:val="007011EE"/>
    <w:rsid w:val="00701ECA"/>
    <w:rsid w:val="00702803"/>
    <w:rsid w:val="00703C41"/>
    <w:rsid w:val="00704083"/>
    <w:rsid w:val="0070448E"/>
    <w:rsid w:val="007047CD"/>
    <w:rsid w:val="0070543D"/>
    <w:rsid w:val="00705629"/>
    <w:rsid w:val="00705B15"/>
    <w:rsid w:val="00706525"/>
    <w:rsid w:val="00706657"/>
    <w:rsid w:val="007067AB"/>
    <w:rsid w:val="007067F5"/>
    <w:rsid w:val="007069A4"/>
    <w:rsid w:val="00707809"/>
    <w:rsid w:val="007078C5"/>
    <w:rsid w:val="00707E89"/>
    <w:rsid w:val="0071065B"/>
    <w:rsid w:val="00711D85"/>
    <w:rsid w:val="00711ECB"/>
    <w:rsid w:val="00711EF5"/>
    <w:rsid w:val="007120F7"/>
    <w:rsid w:val="0071211B"/>
    <w:rsid w:val="007127A2"/>
    <w:rsid w:val="007127D4"/>
    <w:rsid w:val="00712EF5"/>
    <w:rsid w:val="00712F6C"/>
    <w:rsid w:val="00713208"/>
    <w:rsid w:val="0071409B"/>
    <w:rsid w:val="007147A5"/>
    <w:rsid w:val="007151B7"/>
    <w:rsid w:val="0071532C"/>
    <w:rsid w:val="00715A1C"/>
    <w:rsid w:val="007164CD"/>
    <w:rsid w:val="0071702F"/>
    <w:rsid w:val="007170BB"/>
    <w:rsid w:val="00717180"/>
    <w:rsid w:val="007172E9"/>
    <w:rsid w:val="00717B7B"/>
    <w:rsid w:val="00717C80"/>
    <w:rsid w:val="00720446"/>
    <w:rsid w:val="0072044F"/>
    <w:rsid w:val="007206A7"/>
    <w:rsid w:val="00720E2A"/>
    <w:rsid w:val="00722282"/>
    <w:rsid w:val="007225B8"/>
    <w:rsid w:val="00722941"/>
    <w:rsid w:val="007236A2"/>
    <w:rsid w:val="007238A1"/>
    <w:rsid w:val="00723B57"/>
    <w:rsid w:val="00723C9C"/>
    <w:rsid w:val="00723CAA"/>
    <w:rsid w:val="00724BB9"/>
    <w:rsid w:val="00724C99"/>
    <w:rsid w:val="00725AF1"/>
    <w:rsid w:val="00727278"/>
    <w:rsid w:val="007273AB"/>
    <w:rsid w:val="00727BBC"/>
    <w:rsid w:val="00727EB7"/>
    <w:rsid w:val="00730628"/>
    <w:rsid w:val="00730A50"/>
    <w:rsid w:val="00730A85"/>
    <w:rsid w:val="00731127"/>
    <w:rsid w:val="007315F7"/>
    <w:rsid w:val="0073165C"/>
    <w:rsid w:val="007318FB"/>
    <w:rsid w:val="00732535"/>
    <w:rsid w:val="00732B92"/>
    <w:rsid w:val="00732EFC"/>
    <w:rsid w:val="0073337A"/>
    <w:rsid w:val="00733E89"/>
    <w:rsid w:val="00733EB6"/>
    <w:rsid w:val="00733F5B"/>
    <w:rsid w:val="00734318"/>
    <w:rsid w:val="00734358"/>
    <w:rsid w:val="00734745"/>
    <w:rsid w:val="00734765"/>
    <w:rsid w:val="007349C1"/>
    <w:rsid w:val="00734BA4"/>
    <w:rsid w:val="00734D79"/>
    <w:rsid w:val="00735F85"/>
    <w:rsid w:val="00736A23"/>
    <w:rsid w:val="00737599"/>
    <w:rsid w:val="00737764"/>
    <w:rsid w:val="007378EE"/>
    <w:rsid w:val="0074032E"/>
    <w:rsid w:val="007403E3"/>
    <w:rsid w:val="00740C99"/>
    <w:rsid w:val="00741FEF"/>
    <w:rsid w:val="00742035"/>
    <w:rsid w:val="007423B8"/>
    <w:rsid w:val="0074248D"/>
    <w:rsid w:val="00742E13"/>
    <w:rsid w:val="00742EAA"/>
    <w:rsid w:val="00743039"/>
    <w:rsid w:val="007439B1"/>
    <w:rsid w:val="00743B1C"/>
    <w:rsid w:val="00743F59"/>
    <w:rsid w:val="0074453A"/>
    <w:rsid w:val="00744C38"/>
    <w:rsid w:val="0074558C"/>
    <w:rsid w:val="007462D3"/>
    <w:rsid w:val="00746442"/>
    <w:rsid w:val="007464E6"/>
    <w:rsid w:val="0074675A"/>
    <w:rsid w:val="00746BE2"/>
    <w:rsid w:val="00746C64"/>
    <w:rsid w:val="00747181"/>
    <w:rsid w:val="00750069"/>
    <w:rsid w:val="00750A50"/>
    <w:rsid w:val="00751411"/>
    <w:rsid w:val="00751D0D"/>
    <w:rsid w:val="00751E96"/>
    <w:rsid w:val="007533E1"/>
    <w:rsid w:val="00753A3F"/>
    <w:rsid w:val="00753D77"/>
    <w:rsid w:val="00754F66"/>
    <w:rsid w:val="007550D9"/>
    <w:rsid w:val="0075517D"/>
    <w:rsid w:val="00755507"/>
    <w:rsid w:val="00755766"/>
    <w:rsid w:val="00755A41"/>
    <w:rsid w:val="0075640A"/>
    <w:rsid w:val="007575FC"/>
    <w:rsid w:val="00757ADE"/>
    <w:rsid w:val="00757B63"/>
    <w:rsid w:val="00757FDF"/>
    <w:rsid w:val="00760E97"/>
    <w:rsid w:val="00761725"/>
    <w:rsid w:val="00761FF2"/>
    <w:rsid w:val="00764358"/>
    <w:rsid w:val="00764656"/>
    <w:rsid w:val="007652DB"/>
    <w:rsid w:val="00767C4B"/>
    <w:rsid w:val="00767D67"/>
    <w:rsid w:val="00767EF6"/>
    <w:rsid w:val="007706A7"/>
    <w:rsid w:val="00770878"/>
    <w:rsid w:val="00770BDF"/>
    <w:rsid w:val="00771C92"/>
    <w:rsid w:val="00772A54"/>
    <w:rsid w:val="0077341A"/>
    <w:rsid w:val="00773E94"/>
    <w:rsid w:val="00774A7D"/>
    <w:rsid w:val="00774BA0"/>
    <w:rsid w:val="007761E2"/>
    <w:rsid w:val="00776306"/>
    <w:rsid w:val="00776E11"/>
    <w:rsid w:val="0077730D"/>
    <w:rsid w:val="00777315"/>
    <w:rsid w:val="007776BD"/>
    <w:rsid w:val="00780670"/>
    <w:rsid w:val="007808D2"/>
    <w:rsid w:val="00781BDC"/>
    <w:rsid w:val="00782305"/>
    <w:rsid w:val="0078262C"/>
    <w:rsid w:val="00782969"/>
    <w:rsid w:val="00782D44"/>
    <w:rsid w:val="007832E8"/>
    <w:rsid w:val="007834A3"/>
    <w:rsid w:val="00783848"/>
    <w:rsid w:val="007839D7"/>
    <w:rsid w:val="00783CF2"/>
    <w:rsid w:val="007850C9"/>
    <w:rsid w:val="00785153"/>
    <w:rsid w:val="00786548"/>
    <w:rsid w:val="00787818"/>
    <w:rsid w:val="00787BB8"/>
    <w:rsid w:val="007905D6"/>
    <w:rsid w:val="00790640"/>
    <w:rsid w:val="007909C4"/>
    <w:rsid w:val="00790C78"/>
    <w:rsid w:val="00790CB1"/>
    <w:rsid w:val="00791291"/>
    <w:rsid w:val="00791C12"/>
    <w:rsid w:val="00791CB0"/>
    <w:rsid w:val="0079202F"/>
    <w:rsid w:val="00792C89"/>
    <w:rsid w:val="0079341F"/>
    <w:rsid w:val="007939A9"/>
    <w:rsid w:val="00793C75"/>
    <w:rsid w:val="00794BBA"/>
    <w:rsid w:val="00794FBF"/>
    <w:rsid w:val="007954AE"/>
    <w:rsid w:val="00795F88"/>
    <w:rsid w:val="00796FD1"/>
    <w:rsid w:val="00797273"/>
    <w:rsid w:val="00797866"/>
    <w:rsid w:val="007A0142"/>
    <w:rsid w:val="007A03F4"/>
    <w:rsid w:val="007A05A1"/>
    <w:rsid w:val="007A16F0"/>
    <w:rsid w:val="007A1AEE"/>
    <w:rsid w:val="007A1F6E"/>
    <w:rsid w:val="007A21AF"/>
    <w:rsid w:val="007A32F7"/>
    <w:rsid w:val="007A39C8"/>
    <w:rsid w:val="007A489B"/>
    <w:rsid w:val="007A4901"/>
    <w:rsid w:val="007A4B46"/>
    <w:rsid w:val="007A4C82"/>
    <w:rsid w:val="007A5688"/>
    <w:rsid w:val="007A6EB3"/>
    <w:rsid w:val="007A7B57"/>
    <w:rsid w:val="007A7F45"/>
    <w:rsid w:val="007B1DE5"/>
    <w:rsid w:val="007B1FC4"/>
    <w:rsid w:val="007B21F6"/>
    <w:rsid w:val="007B3282"/>
    <w:rsid w:val="007B4AA9"/>
    <w:rsid w:val="007B5977"/>
    <w:rsid w:val="007B5B24"/>
    <w:rsid w:val="007B5B55"/>
    <w:rsid w:val="007B606A"/>
    <w:rsid w:val="007B6BEA"/>
    <w:rsid w:val="007B718D"/>
    <w:rsid w:val="007B72A9"/>
    <w:rsid w:val="007B7BC8"/>
    <w:rsid w:val="007C0DBD"/>
    <w:rsid w:val="007C1802"/>
    <w:rsid w:val="007C1D27"/>
    <w:rsid w:val="007C1DF6"/>
    <w:rsid w:val="007C405E"/>
    <w:rsid w:val="007C4062"/>
    <w:rsid w:val="007C45FE"/>
    <w:rsid w:val="007C4B06"/>
    <w:rsid w:val="007C4C1C"/>
    <w:rsid w:val="007C53B1"/>
    <w:rsid w:val="007C63FE"/>
    <w:rsid w:val="007C697C"/>
    <w:rsid w:val="007C69D0"/>
    <w:rsid w:val="007C6E97"/>
    <w:rsid w:val="007C7AEC"/>
    <w:rsid w:val="007D0A89"/>
    <w:rsid w:val="007D0F2A"/>
    <w:rsid w:val="007D149C"/>
    <w:rsid w:val="007D1730"/>
    <w:rsid w:val="007D2ABB"/>
    <w:rsid w:val="007D3F68"/>
    <w:rsid w:val="007D4276"/>
    <w:rsid w:val="007D4FA5"/>
    <w:rsid w:val="007D5096"/>
    <w:rsid w:val="007D6836"/>
    <w:rsid w:val="007D6BFA"/>
    <w:rsid w:val="007D6DFC"/>
    <w:rsid w:val="007D7759"/>
    <w:rsid w:val="007D7A2A"/>
    <w:rsid w:val="007D7B1A"/>
    <w:rsid w:val="007E03C8"/>
    <w:rsid w:val="007E04F8"/>
    <w:rsid w:val="007E06DF"/>
    <w:rsid w:val="007E0AAF"/>
    <w:rsid w:val="007E0B29"/>
    <w:rsid w:val="007E0D48"/>
    <w:rsid w:val="007E144C"/>
    <w:rsid w:val="007E1922"/>
    <w:rsid w:val="007E1D04"/>
    <w:rsid w:val="007E2543"/>
    <w:rsid w:val="007E2F60"/>
    <w:rsid w:val="007E30CA"/>
    <w:rsid w:val="007E3141"/>
    <w:rsid w:val="007E434B"/>
    <w:rsid w:val="007E49CC"/>
    <w:rsid w:val="007E5039"/>
    <w:rsid w:val="007E5BD8"/>
    <w:rsid w:val="007E5F13"/>
    <w:rsid w:val="007E5F78"/>
    <w:rsid w:val="007E63C3"/>
    <w:rsid w:val="007E6511"/>
    <w:rsid w:val="007E663A"/>
    <w:rsid w:val="007E7F54"/>
    <w:rsid w:val="007F033A"/>
    <w:rsid w:val="007F0FE3"/>
    <w:rsid w:val="007F1673"/>
    <w:rsid w:val="007F1745"/>
    <w:rsid w:val="007F20D8"/>
    <w:rsid w:val="007F212C"/>
    <w:rsid w:val="007F2695"/>
    <w:rsid w:val="007F2765"/>
    <w:rsid w:val="007F287D"/>
    <w:rsid w:val="007F2B13"/>
    <w:rsid w:val="007F325E"/>
    <w:rsid w:val="007F32AF"/>
    <w:rsid w:val="007F38A0"/>
    <w:rsid w:val="007F3B77"/>
    <w:rsid w:val="007F3D4A"/>
    <w:rsid w:val="007F3DE8"/>
    <w:rsid w:val="007F618F"/>
    <w:rsid w:val="007F63A6"/>
    <w:rsid w:val="007F6676"/>
    <w:rsid w:val="007F671E"/>
    <w:rsid w:val="007F7F56"/>
    <w:rsid w:val="00800A2F"/>
    <w:rsid w:val="008016FF"/>
    <w:rsid w:val="00802146"/>
    <w:rsid w:val="00802B3D"/>
    <w:rsid w:val="00802DB9"/>
    <w:rsid w:val="008037E6"/>
    <w:rsid w:val="00803A19"/>
    <w:rsid w:val="00803B79"/>
    <w:rsid w:val="00804DD1"/>
    <w:rsid w:val="00805D0D"/>
    <w:rsid w:val="00806396"/>
    <w:rsid w:val="0080672E"/>
    <w:rsid w:val="00806869"/>
    <w:rsid w:val="00806904"/>
    <w:rsid w:val="00806DCA"/>
    <w:rsid w:val="00806F92"/>
    <w:rsid w:val="0081005C"/>
    <w:rsid w:val="0081006C"/>
    <w:rsid w:val="008108C1"/>
    <w:rsid w:val="00810D4A"/>
    <w:rsid w:val="008112D9"/>
    <w:rsid w:val="00811567"/>
    <w:rsid w:val="00811CC3"/>
    <w:rsid w:val="00812E4D"/>
    <w:rsid w:val="00812FCA"/>
    <w:rsid w:val="0081368E"/>
    <w:rsid w:val="008142ED"/>
    <w:rsid w:val="0081450C"/>
    <w:rsid w:val="00815450"/>
    <w:rsid w:val="00815B3A"/>
    <w:rsid w:val="008165A5"/>
    <w:rsid w:val="008169DB"/>
    <w:rsid w:val="00817683"/>
    <w:rsid w:val="00817AF7"/>
    <w:rsid w:val="00817CB0"/>
    <w:rsid w:val="00820AFF"/>
    <w:rsid w:val="00820C1F"/>
    <w:rsid w:val="008212DA"/>
    <w:rsid w:val="00821496"/>
    <w:rsid w:val="0082315C"/>
    <w:rsid w:val="008233D2"/>
    <w:rsid w:val="008235FF"/>
    <w:rsid w:val="00823D29"/>
    <w:rsid w:val="00824188"/>
    <w:rsid w:val="008252CC"/>
    <w:rsid w:val="00825562"/>
    <w:rsid w:val="00825567"/>
    <w:rsid w:val="00825AEF"/>
    <w:rsid w:val="00825EBF"/>
    <w:rsid w:val="0082657A"/>
    <w:rsid w:val="00826BE7"/>
    <w:rsid w:val="00827532"/>
    <w:rsid w:val="00827A00"/>
    <w:rsid w:val="00827A87"/>
    <w:rsid w:val="00827B96"/>
    <w:rsid w:val="00827BDF"/>
    <w:rsid w:val="00830732"/>
    <w:rsid w:val="00830D84"/>
    <w:rsid w:val="00831470"/>
    <w:rsid w:val="00831AFC"/>
    <w:rsid w:val="008332FE"/>
    <w:rsid w:val="00833429"/>
    <w:rsid w:val="00833801"/>
    <w:rsid w:val="00833F3C"/>
    <w:rsid w:val="00834E73"/>
    <w:rsid w:val="00834F64"/>
    <w:rsid w:val="00834FEB"/>
    <w:rsid w:val="00835263"/>
    <w:rsid w:val="008353E3"/>
    <w:rsid w:val="00835D94"/>
    <w:rsid w:val="008369F8"/>
    <w:rsid w:val="00836FDF"/>
    <w:rsid w:val="008371B6"/>
    <w:rsid w:val="008371D4"/>
    <w:rsid w:val="00837AD2"/>
    <w:rsid w:val="00837CCF"/>
    <w:rsid w:val="00837D7D"/>
    <w:rsid w:val="00837EEC"/>
    <w:rsid w:val="008410E8"/>
    <w:rsid w:val="0084117D"/>
    <w:rsid w:val="00841BED"/>
    <w:rsid w:val="00842BA6"/>
    <w:rsid w:val="00842C4F"/>
    <w:rsid w:val="00843670"/>
    <w:rsid w:val="00843694"/>
    <w:rsid w:val="00843A52"/>
    <w:rsid w:val="00843D88"/>
    <w:rsid w:val="008445B1"/>
    <w:rsid w:val="00844834"/>
    <w:rsid w:val="008455A5"/>
    <w:rsid w:val="00845FE8"/>
    <w:rsid w:val="00846355"/>
    <w:rsid w:val="008470DB"/>
    <w:rsid w:val="00847A57"/>
    <w:rsid w:val="00847ECE"/>
    <w:rsid w:val="00850343"/>
    <w:rsid w:val="00850524"/>
    <w:rsid w:val="00850773"/>
    <w:rsid w:val="00851455"/>
    <w:rsid w:val="008515E8"/>
    <w:rsid w:val="008519B0"/>
    <w:rsid w:val="00852011"/>
    <w:rsid w:val="00852397"/>
    <w:rsid w:val="00853452"/>
    <w:rsid w:val="008549D9"/>
    <w:rsid w:val="00855323"/>
    <w:rsid w:val="0085596B"/>
    <w:rsid w:val="00855AD4"/>
    <w:rsid w:val="008564F3"/>
    <w:rsid w:val="00856A61"/>
    <w:rsid w:val="00857ADC"/>
    <w:rsid w:val="008602F6"/>
    <w:rsid w:val="00860837"/>
    <w:rsid w:val="00860C01"/>
    <w:rsid w:val="00860FDA"/>
    <w:rsid w:val="00861179"/>
    <w:rsid w:val="0086129A"/>
    <w:rsid w:val="00861630"/>
    <w:rsid w:val="0086163A"/>
    <w:rsid w:val="0086206B"/>
    <w:rsid w:val="008622CD"/>
    <w:rsid w:val="00862A3A"/>
    <w:rsid w:val="00862E48"/>
    <w:rsid w:val="008631FD"/>
    <w:rsid w:val="0086355C"/>
    <w:rsid w:val="00863E91"/>
    <w:rsid w:val="0086414F"/>
    <w:rsid w:val="00864765"/>
    <w:rsid w:val="00864C25"/>
    <w:rsid w:val="00864D89"/>
    <w:rsid w:val="00864F28"/>
    <w:rsid w:val="008654F9"/>
    <w:rsid w:val="008656CB"/>
    <w:rsid w:val="00865825"/>
    <w:rsid w:val="008663C2"/>
    <w:rsid w:val="00866D9E"/>
    <w:rsid w:val="00866E3C"/>
    <w:rsid w:val="0086730F"/>
    <w:rsid w:val="00867C08"/>
    <w:rsid w:val="00871201"/>
    <w:rsid w:val="008712FF"/>
    <w:rsid w:val="008713BE"/>
    <w:rsid w:val="008715AF"/>
    <w:rsid w:val="00871A48"/>
    <w:rsid w:val="00871A6D"/>
    <w:rsid w:val="00873137"/>
    <w:rsid w:val="0087313F"/>
    <w:rsid w:val="00873267"/>
    <w:rsid w:val="008733EF"/>
    <w:rsid w:val="0087424D"/>
    <w:rsid w:val="00874AF6"/>
    <w:rsid w:val="00874EE9"/>
    <w:rsid w:val="00875478"/>
    <w:rsid w:val="00875A11"/>
    <w:rsid w:val="00875BCF"/>
    <w:rsid w:val="00875E3D"/>
    <w:rsid w:val="00875F5D"/>
    <w:rsid w:val="008765C2"/>
    <w:rsid w:val="0087664A"/>
    <w:rsid w:val="008770FB"/>
    <w:rsid w:val="00877BDC"/>
    <w:rsid w:val="00877EF6"/>
    <w:rsid w:val="00880782"/>
    <w:rsid w:val="00880ACC"/>
    <w:rsid w:val="00880C49"/>
    <w:rsid w:val="00880F61"/>
    <w:rsid w:val="00880F67"/>
    <w:rsid w:val="008812D5"/>
    <w:rsid w:val="0088178A"/>
    <w:rsid w:val="008817A2"/>
    <w:rsid w:val="00881F1C"/>
    <w:rsid w:val="00882631"/>
    <w:rsid w:val="0088267B"/>
    <w:rsid w:val="00882D73"/>
    <w:rsid w:val="0088375D"/>
    <w:rsid w:val="008840D8"/>
    <w:rsid w:val="00884BCE"/>
    <w:rsid w:val="008854EA"/>
    <w:rsid w:val="00885B00"/>
    <w:rsid w:val="00885B29"/>
    <w:rsid w:val="00886ACF"/>
    <w:rsid w:val="0088710E"/>
    <w:rsid w:val="008873FF"/>
    <w:rsid w:val="00887A19"/>
    <w:rsid w:val="00887C2A"/>
    <w:rsid w:val="008905C0"/>
    <w:rsid w:val="0089073A"/>
    <w:rsid w:val="00890C01"/>
    <w:rsid w:val="00890FD1"/>
    <w:rsid w:val="00891A19"/>
    <w:rsid w:val="00891EAB"/>
    <w:rsid w:val="0089278F"/>
    <w:rsid w:val="00892A4E"/>
    <w:rsid w:val="00892D16"/>
    <w:rsid w:val="008939D2"/>
    <w:rsid w:val="00893B6C"/>
    <w:rsid w:val="00893C90"/>
    <w:rsid w:val="0089400E"/>
    <w:rsid w:val="00894709"/>
    <w:rsid w:val="00895B2E"/>
    <w:rsid w:val="00895C64"/>
    <w:rsid w:val="00896193"/>
    <w:rsid w:val="008963F7"/>
    <w:rsid w:val="00896A04"/>
    <w:rsid w:val="00896AA2"/>
    <w:rsid w:val="00896B91"/>
    <w:rsid w:val="00897D19"/>
    <w:rsid w:val="008A0065"/>
    <w:rsid w:val="008A0398"/>
    <w:rsid w:val="008A071E"/>
    <w:rsid w:val="008A09E3"/>
    <w:rsid w:val="008A0C16"/>
    <w:rsid w:val="008A1458"/>
    <w:rsid w:val="008A1887"/>
    <w:rsid w:val="008A2A61"/>
    <w:rsid w:val="008A327A"/>
    <w:rsid w:val="008A370C"/>
    <w:rsid w:val="008A484F"/>
    <w:rsid w:val="008A5263"/>
    <w:rsid w:val="008A5C0C"/>
    <w:rsid w:val="008A610A"/>
    <w:rsid w:val="008A6A27"/>
    <w:rsid w:val="008A6AAA"/>
    <w:rsid w:val="008A6E36"/>
    <w:rsid w:val="008A7503"/>
    <w:rsid w:val="008B03E4"/>
    <w:rsid w:val="008B17FF"/>
    <w:rsid w:val="008B20C8"/>
    <w:rsid w:val="008B2409"/>
    <w:rsid w:val="008B2414"/>
    <w:rsid w:val="008B25FD"/>
    <w:rsid w:val="008B3053"/>
    <w:rsid w:val="008B3300"/>
    <w:rsid w:val="008B3576"/>
    <w:rsid w:val="008B35C3"/>
    <w:rsid w:val="008B436F"/>
    <w:rsid w:val="008B43D8"/>
    <w:rsid w:val="008B43F2"/>
    <w:rsid w:val="008B5ED6"/>
    <w:rsid w:val="008B652B"/>
    <w:rsid w:val="008B6A77"/>
    <w:rsid w:val="008B6C78"/>
    <w:rsid w:val="008B720D"/>
    <w:rsid w:val="008B7257"/>
    <w:rsid w:val="008B7545"/>
    <w:rsid w:val="008B7B77"/>
    <w:rsid w:val="008C017C"/>
    <w:rsid w:val="008C01EF"/>
    <w:rsid w:val="008C137F"/>
    <w:rsid w:val="008C16EB"/>
    <w:rsid w:val="008C189C"/>
    <w:rsid w:val="008C1E2E"/>
    <w:rsid w:val="008C2171"/>
    <w:rsid w:val="008C34C4"/>
    <w:rsid w:val="008C3735"/>
    <w:rsid w:val="008C3951"/>
    <w:rsid w:val="008C40EE"/>
    <w:rsid w:val="008C438B"/>
    <w:rsid w:val="008C4535"/>
    <w:rsid w:val="008C4CE1"/>
    <w:rsid w:val="008C4D0C"/>
    <w:rsid w:val="008C5035"/>
    <w:rsid w:val="008C590B"/>
    <w:rsid w:val="008C5FC7"/>
    <w:rsid w:val="008C6514"/>
    <w:rsid w:val="008C673A"/>
    <w:rsid w:val="008C6A93"/>
    <w:rsid w:val="008C72B0"/>
    <w:rsid w:val="008C76EC"/>
    <w:rsid w:val="008C7ABB"/>
    <w:rsid w:val="008D02AB"/>
    <w:rsid w:val="008D03EA"/>
    <w:rsid w:val="008D0500"/>
    <w:rsid w:val="008D0F86"/>
    <w:rsid w:val="008D16C7"/>
    <w:rsid w:val="008D1BBA"/>
    <w:rsid w:val="008D1E91"/>
    <w:rsid w:val="008D2470"/>
    <w:rsid w:val="008D3086"/>
    <w:rsid w:val="008D317D"/>
    <w:rsid w:val="008D401D"/>
    <w:rsid w:val="008D4030"/>
    <w:rsid w:val="008D42FE"/>
    <w:rsid w:val="008D44DB"/>
    <w:rsid w:val="008D5197"/>
    <w:rsid w:val="008D522A"/>
    <w:rsid w:val="008D5835"/>
    <w:rsid w:val="008D5AB1"/>
    <w:rsid w:val="008D5CD2"/>
    <w:rsid w:val="008D63FC"/>
    <w:rsid w:val="008D6406"/>
    <w:rsid w:val="008D6F1D"/>
    <w:rsid w:val="008D755E"/>
    <w:rsid w:val="008D7FC1"/>
    <w:rsid w:val="008E02AA"/>
    <w:rsid w:val="008E066D"/>
    <w:rsid w:val="008E0CA0"/>
    <w:rsid w:val="008E11C2"/>
    <w:rsid w:val="008E1596"/>
    <w:rsid w:val="008E164D"/>
    <w:rsid w:val="008E1882"/>
    <w:rsid w:val="008E1B3B"/>
    <w:rsid w:val="008E1D9A"/>
    <w:rsid w:val="008E2CC1"/>
    <w:rsid w:val="008E41CA"/>
    <w:rsid w:val="008E452B"/>
    <w:rsid w:val="008E4727"/>
    <w:rsid w:val="008E4C9A"/>
    <w:rsid w:val="008E4F80"/>
    <w:rsid w:val="008E5248"/>
    <w:rsid w:val="008E5763"/>
    <w:rsid w:val="008E617A"/>
    <w:rsid w:val="008E6314"/>
    <w:rsid w:val="008E64C6"/>
    <w:rsid w:val="008E7C55"/>
    <w:rsid w:val="008E7E18"/>
    <w:rsid w:val="008F01F8"/>
    <w:rsid w:val="008F0D1B"/>
    <w:rsid w:val="008F123C"/>
    <w:rsid w:val="008F16B7"/>
    <w:rsid w:val="008F1BC4"/>
    <w:rsid w:val="008F2711"/>
    <w:rsid w:val="008F2AE8"/>
    <w:rsid w:val="008F3556"/>
    <w:rsid w:val="008F3629"/>
    <w:rsid w:val="008F396A"/>
    <w:rsid w:val="008F4BF0"/>
    <w:rsid w:val="008F53E7"/>
    <w:rsid w:val="008F54FC"/>
    <w:rsid w:val="008F566C"/>
    <w:rsid w:val="008F5AB3"/>
    <w:rsid w:val="008F658E"/>
    <w:rsid w:val="008F65E0"/>
    <w:rsid w:val="008F672E"/>
    <w:rsid w:val="008F6B09"/>
    <w:rsid w:val="008F710E"/>
    <w:rsid w:val="008F7960"/>
    <w:rsid w:val="008F7B60"/>
    <w:rsid w:val="008F7C0C"/>
    <w:rsid w:val="00900540"/>
    <w:rsid w:val="0090060C"/>
    <w:rsid w:val="0090079A"/>
    <w:rsid w:val="00901558"/>
    <w:rsid w:val="00901D86"/>
    <w:rsid w:val="00902058"/>
    <w:rsid w:val="009027E9"/>
    <w:rsid w:val="0090296A"/>
    <w:rsid w:val="00902BA8"/>
    <w:rsid w:val="00902EE7"/>
    <w:rsid w:val="00903A0C"/>
    <w:rsid w:val="009045AF"/>
    <w:rsid w:val="00904A5D"/>
    <w:rsid w:val="00904D8D"/>
    <w:rsid w:val="00905117"/>
    <w:rsid w:val="00905782"/>
    <w:rsid w:val="00905979"/>
    <w:rsid w:val="00905D92"/>
    <w:rsid w:val="00905EB5"/>
    <w:rsid w:val="009070B1"/>
    <w:rsid w:val="00907174"/>
    <w:rsid w:val="0090725D"/>
    <w:rsid w:val="00907F1E"/>
    <w:rsid w:val="00907F2F"/>
    <w:rsid w:val="00907F93"/>
    <w:rsid w:val="00911E93"/>
    <w:rsid w:val="00912EFF"/>
    <w:rsid w:val="009131BA"/>
    <w:rsid w:val="009135C5"/>
    <w:rsid w:val="00913842"/>
    <w:rsid w:val="00913B6C"/>
    <w:rsid w:val="0091443C"/>
    <w:rsid w:val="00914896"/>
    <w:rsid w:val="00914C3A"/>
    <w:rsid w:val="00914E9F"/>
    <w:rsid w:val="00915BF2"/>
    <w:rsid w:val="0091610E"/>
    <w:rsid w:val="009176E4"/>
    <w:rsid w:val="0091770E"/>
    <w:rsid w:val="0092095D"/>
    <w:rsid w:val="00920AAC"/>
    <w:rsid w:val="00920FA2"/>
    <w:rsid w:val="009215C9"/>
    <w:rsid w:val="00921EE2"/>
    <w:rsid w:val="00921F42"/>
    <w:rsid w:val="00922168"/>
    <w:rsid w:val="00922BF5"/>
    <w:rsid w:val="00923136"/>
    <w:rsid w:val="0092348B"/>
    <w:rsid w:val="00923B6F"/>
    <w:rsid w:val="00924045"/>
    <w:rsid w:val="0092434F"/>
    <w:rsid w:val="00924713"/>
    <w:rsid w:val="00924C37"/>
    <w:rsid w:val="009252D3"/>
    <w:rsid w:val="009260D6"/>
    <w:rsid w:val="009267DA"/>
    <w:rsid w:val="00926DD8"/>
    <w:rsid w:val="0092735F"/>
    <w:rsid w:val="00927E56"/>
    <w:rsid w:val="009301E2"/>
    <w:rsid w:val="00931460"/>
    <w:rsid w:val="0093197B"/>
    <w:rsid w:val="00932996"/>
    <w:rsid w:val="00934615"/>
    <w:rsid w:val="009346FD"/>
    <w:rsid w:val="009347C6"/>
    <w:rsid w:val="00934A9B"/>
    <w:rsid w:val="00937060"/>
    <w:rsid w:val="00937067"/>
    <w:rsid w:val="009406C9"/>
    <w:rsid w:val="00940A76"/>
    <w:rsid w:val="009420D7"/>
    <w:rsid w:val="0094273B"/>
    <w:rsid w:val="009430A1"/>
    <w:rsid w:val="009438B0"/>
    <w:rsid w:val="009438EE"/>
    <w:rsid w:val="009438FB"/>
    <w:rsid w:val="00943D0E"/>
    <w:rsid w:val="009454EC"/>
    <w:rsid w:val="00945980"/>
    <w:rsid w:val="009462B0"/>
    <w:rsid w:val="009465A9"/>
    <w:rsid w:val="00946D70"/>
    <w:rsid w:val="0094711A"/>
    <w:rsid w:val="00947753"/>
    <w:rsid w:val="00947A68"/>
    <w:rsid w:val="00950875"/>
    <w:rsid w:val="0095094C"/>
    <w:rsid w:val="00950CA5"/>
    <w:rsid w:val="009521B2"/>
    <w:rsid w:val="00952A51"/>
    <w:rsid w:val="00952CA7"/>
    <w:rsid w:val="00952CEA"/>
    <w:rsid w:val="00952F50"/>
    <w:rsid w:val="00952FD2"/>
    <w:rsid w:val="0095333B"/>
    <w:rsid w:val="0095382E"/>
    <w:rsid w:val="0095393D"/>
    <w:rsid w:val="00954217"/>
    <w:rsid w:val="00955A59"/>
    <w:rsid w:val="00956F34"/>
    <w:rsid w:val="00957131"/>
    <w:rsid w:val="00957134"/>
    <w:rsid w:val="009579E8"/>
    <w:rsid w:val="009615A9"/>
    <w:rsid w:val="009620DF"/>
    <w:rsid w:val="009631F8"/>
    <w:rsid w:val="00963835"/>
    <w:rsid w:val="00963886"/>
    <w:rsid w:val="009641F3"/>
    <w:rsid w:val="009648E3"/>
    <w:rsid w:val="0096491A"/>
    <w:rsid w:val="00964C9E"/>
    <w:rsid w:val="0096569E"/>
    <w:rsid w:val="00965C73"/>
    <w:rsid w:val="00966606"/>
    <w:rsid w:val="009669F7"/>
    <w:rsid w:val="00966F08"/>
    <w:rsid w:val="00967863"/>
    <w:rsid w:val="009708AF"/>
    <w:rsid w:val="00970D6D"/>
    <w:rsid w:val="00971241"/>
    <w:rsid w:val="00971A1A"/>
    <w:rsid w:val="009720CA"/>
    <w:rsid w:val="009721B3"/>
    <w:rsid w:val="00972532"/>
    <w:rsid w:val="0097266D"/>
    <w:rsid w:val="00972C3A"/>
    <w:rsid w:val="009732B5"/>
    <w:rsid w:val="00973E18"/>
    <w:rsid w:val="00973F8A"/>
    <w:rsid w:val="00974024"/>
    <w:rsid w:val="00974186"/>
    <w:rsid w:val="009754EB"/>
    <w:rsid w:val="009756B7"/>
    <w:rsid w:val="00975A5B"/>
    <w:rsid w:val="00975C35"/>
    <w:rsid w:val="00976053"/>
    <w:rsid w:val="00976B5D"/>
    <w:rsid w:val="00976CB7"/>
    <w:rsid w:val="00977013"/>
    <w:rsid w:val="0097770E"/>
    <w:rsid w:val="0098024D"/>
    <w:rsid w:val="00980B6C"/>
    <w:rsid w:val="00981232"/>
    <w:rsid w:val="00981339"/>
    <w:rsid w:val="00981430"/>
    <w:rsid w:val="00981692"/>
    <w:rsid w:val="00981877"/>
    <w:rsid w:val="00982069"/>
    <w:rsid w:val="00982328"/>
    <w:rsid w:val="009828AE"/>
    <w:rsid w:val="00982C3F"/>
    <w:rsid w:val="00982F9C"/>
    <w:rsid w:val="00983A5B"/>
    <w:rsid w:val="00983BF8"/>
    <w:rsid w:val="009844BB"/>
    <w:rsid w:val="00985DB3"/>
    <w:rsid w:val="00985ECF"/>
    <w:rsid w:val="009868CC"/>
    <w:rsid w:val="00986A1D"/>
    <w:rsid w:val="00986B27"/>
    <w:rsid w:val="00987B03"/>
    <w:rsid w:val="0099005B"/>
    <w:rsid w:val="0099071F"/>
    <w:rsid w:val="00990EC0"/>
    <w:rsid w:val="0099129A"/>
    <w:rsid w:val="009925DB"/>
    <w:rsid w:val="00992891"/>
    <w:rsid w:val="00992CFC"/>
    <w:rsid w:val="009932EA"/>
    <w:rsid w:val="00993542"/>
    <w:rsid w:val="00993566"/>
    <w:rsid w:val="0099359A"/>
    <w:rsid w:val="009936D9"/>
    <w:rsid w:val="009939AD"/>
    <w:rsid w:val="00994A44"/>
    <w:rsid w:val="00994F53"/>
    <w:rsid w:val="0099515B"/>
    <w:rsid w:val="0099547E"/>
    <w:rsid w:val="009957C8"/>
    <w:rsid w:val="00995FC1"/>
    <w:rsid w:val="00996824"/>
    <w:rsid w:val="00996A99"/>
    <w:rsid w:val="00996B84"/>
    <w:rsid w:val="009970B8"/>
    <w:rsid w:val="00997475"/>
    <w:rsid w:val="009A026E"/>
    <w:rsid w:val="009A0697"/>
    <w:rsid w:val="009A0808"/>
    <w:rsid w:val="009A0ECE"/>
    <w:rsid w:val="009A1260"/>
    <w:rsid w:val="009A16D5"/>
    <w:rsid w:val="009A1A6F"/>
    <w:rsid w:val="009A1FA4"/>
    <w:rsid w:val="009A2292"/>
    <w:rsid w:val="009A2ACF"/>
    <w:rsid w:val="009A30AC"/>
    <w:rsid w:val="009A31C8"/>
    <w:rsid w:val="009A3882"/>
    <w:rsid w:val="009A3A55"/>
    <w:rsid w:val="009A3DAC"/>
    <w:rsid w:val="009A40BA"/>
    <w:rsid w:val="009A44BF"/>
    <w:rsid w:val="009A532A"/>
    <w:rsid w:val="009A7572"/>
    <w:rsid w:val="009B018C"/>
    <w:rsid w:val="009B22D0"/>
    <w:rsid w:val="009B3357"/>
    <w:rsid w:val="009B3D5F"/>
    <w:rsid w:val="009B431F"/>
    <w:rsid w:val="009B4936"/>
    <w:rsid w:val="009B4CC6"/>
    <w:rsid w:val="009B596D"/>
    <w:rsid w:val="009B6BC6"/>
    <w:rsid w:val="009B7536"/>
    <w:rsid w:val="009B79A3"/>
    <w:rsid w:val="009C0652"/>
    <w:rsid w:val="009C0D04"/>
    <w:rsid w:val="009C1088"/>
    <w:rsid w:val="009C15C2"/>
    <w:rsid w:val="009C1CFE"/>
    <w:rsid w:val="009C1D51"/>
    <w:rsid w:val="009C2351"/>
    <w:rsid w:val="009C24B3"/>
    <w:rsid w:val="009C2B26"/>
    <w:rsid w:val="009C2CB6"/>
    <w:rsid w:val="009C3FAA"/>
    <w:rsid w:val="009C427A"/>
    <w:rsid w:val="009C45DF"/>
    <w:rsid w:val="009C4A97"/>
    <w:rsid w:val="009C6224"/>
    <w:rsid w:val="009C6B3C"/>
    <w:rsid w:val="009C70C7"/>
    <w:rsid w:val="009D0074"/>
    <w:rsid w:val="009D05FC"/>
    <w:rsid w:val="009D17A6"/>
    <w:rsid w:val="009D1977"/>
    <w:rsid w:val="009D23AC"/>
    <w:rsid w:val="009D2A8E"/>
    <w:rsid w:val="009D3E03"/>
    <w:rsid w:val="009D4A00"/>
    <w:rsid w:val="009D5051"/>
    <w:rsid w:val="009D5707"/>
    <w:rsid w:val="009D59F3"/>
    <w:rsid w:val="009D71AB"/>
    <w:rsid w:val="009D7753"/>
    <w:rsid w:val="009D7B62"/>
    <w:rsid w:val="009E0FE1"/>
    <w:rsid w:val="009E1642"/>
    <w:rsid w:val="009E277D"/>
    <w:rsid w:val="009E2CD8"/>
    <w:rsid w:val="009E3195"/>
    <w:rsid w:val="009E31D3"/>
    <w:rsid w:val="009E5209"/>
    <w:rsid w:val="009E524E"/>
    <w:rsid w:val="009E531A"/>
    <w:rsid w:val="009E5B9C"/>
    <w:rsid w:val="009E60E0"/>
    <w:rsid w:val="009E74EF"/>
    <w:rsid w:val="009E7898"/>
    <w:rsid w:val="009E7D1A"/>
    <w:rsid w:val="009E7EB0"/>
    <w:rsid w:val="009F0A43"/>
    <w:rsid w:val="009F1042"/>
    <w:rsid w:val="009F1425"/>
    <w:rsid w:val="009F16A5"/>
    <w:rsid w:val="009F2A4D"/>
    <w:rsid w:val="009F377A"/>
    <w:rsid w:val="009F3A24"/>
    <w:rsid w:val="009F3EC8"/>
    <w:rsid w:val="009F4568"/>
    <w:rsid w:val="009F4A3E"/>
    <w:rsid w:val="009F4CA3"/>
    <w:rsid w:val="009F4E3E"/>
    <w:rsid w:val="009F4F28"/>
    <w:rsid w:val="009F5185"/>
    <w:rsid w:val="009F5655"/>
    <w:rsid w:val="009F57B4"/>
    <w:rsid w:val="009F5A35"/>
    <w:rsid w:val="009F5A5B"/>
    <w:rsid w:val="009F742F"/>
    <w:rsid w:val="009F7B99"/>
    <w:rsid w:val="009F7CAF"/>
    <w:rsid w:val="00A0054A"/>
    <w:rsid w:val="00A00A86"/>
    <w:rsid w:val="00A01006"/>
    <w:rsid w:val="00A01F03"/>
    <w:rsid w:val="00A01F80"/>
    <w:rsid w:val="00A021D1"/>
    <w:rsid w:val="00A02265"/>
    <w:rsid w:val="00A023ED"/>
    <w:rsid w:val="00A025DC"/>
    <w:rsid w:val="00A02EA9"/>
    <w:rsid w:val="00A03238"/>
    <w:rsid w:val="00A0390E"/>
    <w:rsid w:val="00A03DDF"/>
    <w:rsid w:val="00A03ED7"/>
    <w:rsid w:val="00A048D8"/>
    <w:rsid w:val="00A05050"/>
    <w:rsid w:val="00A050A7"/>
    <w:rsid w:val="00A050E8"/>
    <w:rsid w:val="00A0516B"/>
    <w:rsid w:val="00A0582E"/>
    <w:rsid w:val="00A066AB"/>
    <w:rsid w:val="00A0673F"/>
    <w:rsid w:val="00A068B9"/>
    <w:rsid w:val="00A06B5E"/>
    <w:rsid w:val="00A06E2A"/>
    <w:rsid w:val="00A071BB"/>
    <w:rsid w:val="00A07479"/>
    <w:rsid w:val="00A076D1"/>
    <w:rsid w:val="00A07A89"/>
    <w:rsid w:val="00A10279"/>
    <w:rsid w:val="00A104D9"/>
    <w:rsid w:val="00A105A1"/>
    <w:rsid w:val="00A10BE0"/>
    <w:rsid w:val="00A122B4"/>
    <w:rsid w:val="00A125B0"/>
    <w:rsid w:val="00A12750"/>
    <w:rsid w:val="00A128EF"/>
    <w:rsid w:val="00A12918"/>
    <w:rsid w:val="00A12B3D"/>
    <w:rsid w:val="00A1316F"/>
    <w:rsid w:val="00A13FA0"/>
    <w:rsid w:val="00A14438"/>
    <w:rsid w:val="00A14B5A"/>
    <w:rsid w:val="00A154BA"/>
    <w:rsid w:val="00A1638A"/>
    <w:rsid w:val="00A16500"/>
    <w:rsid w:val="00A1661A"/>
    <w:rsid w:val="00A1662F"/>
    <w:rsid w:val="00A1707F"/>
    <w:rsid w:val="00A179AE"/>
    <w:rsid w:val="00A17EFC"/>
    <w:rsid w:val="00A201E9"/>
    <w:rsid w:val="00A20664"/>
    <w:rsid w:val="00A207D0"/>
    <w:rsid w:val="00A20FA2"/>
    <w:rsid w:val="00A2107A"/>
    <w:rsid w:val="00A21B8D"/>
    <w:rsid w:val="00A21CCD"/>
    <w:rsid w:val="00A222B5"/>
    <w:rsid w:val="00A222E0"/>
    <w:rsid w:val="00A22E59"/>
    <w:rsid w:val="00A23AEB"/>
    <w:rsid w:val="00A23EA8"/>
    <w:rsid w:val="00A241C0"/>
    <w:rsid w:val="00A243F6"/>
    <w:rsid w:val="00A244E2"/>
    <w:rsid w:val="00A24F84"/>
    <w:rsid w:val="00A25EA8"/>
    <w:rsid w:val="00A26CBD"/>
    <w:rsid w:val="00A3001E"/>
    <w:rsid w:val="00A3068B"/>
    <w:rsid w:val="00A30EC9"/>
    <w:rsid w:val="00A31603"/>
    <w:rsid w:val="00A31BA5"/>
    <w:rsid w:val="00A324E6"/>
    <w:rsid w:val="00A327ED"/>
    <w:rsid w:val="00A3282B"/>
    <w:rsid w:val="00A32EDE"/>
    <w:rsid w:val="00A330D8"/>
    <w:rsid w:val="00A33FCE"/>
    <w:rsid w:val="00A34232"/>
    <w:rsid w:val="00A35C35"/>
    <w:rsid w:val="00A35C88"/>
    <w:rsid w:val="00A35FB0"/>
    <w:rsid w:val="00A3635B"/>
    <w:rsid w:val="00A365DB"/>
    <w:rsid w:val="00A36D3B"/>
    <w:rsid w:val="00A36F40"/>
    <w:rsid w:val="00A379BB"/>
    <w:rsid w:val="00A37A8E"/>
    <w:rsid w:val="00A4010E"/>
    <w:rsid w:val="00A40242"/>
    <w:rsid w:val="00A40F1B"/>
    <w:rsid w:val="00A41350"/>
    <w:rsid w:val="00A413B8"/>
    <w:rsid w:val="00A416B5"/>
    <w:rsid w:val="00A4212E"/>
    <w:rsid w:val="00A4371E"/>
    <w:rsid w:val="00A43784"/>
    <w:rsid w:val="00A43796"/>
    <w:rsid w:val="00A44008"/>
    <w:rsid w:val="00A44428"/>
    <w:rsid w:val="00A44B57"/>
    <w:rsid w:val="00A44F68"/>
    <w:rsid w:val="00A45150"/>
    <w:rsid w:val="00A45718"/>
    <w:rsid w:val="00A457A8"/>
    <w:rsid w:val="00A45D40"/>
    <w:rsid w:val="00A460C8"/>
    <w:rsid w:val="00A46B6B"/>
    <w:rsid w:val="00A46DF7"/>
    <w:rsid w:val="00A46F2E"/>
    <w:rsid w:val="00A47F6A"/>
    <w:rsid w:val="00A5054F"/>
    <w:rsid w:val="00A507AF"/>
    <w:rsid w:val="00A50A48"/>
    <w:rsid w:val="00A51125"/>
    <w:rsid w:val="00A51836"/>
    <w:rsid w:val="00A51F16"/>
    <w:rsid w:val="00A52723"/>
    <w:rsid w:val="00A52A59"/>
    <w:rsid w:val="00A5312E"/>
    <w:rsid w:val="00A53FF0"/>
    <w:rsid w:val="00A549A9"/>
    <w:rsid w:val="00A54E3A"/>
    <w:rsid w:val="00A5518B"/>
    <w:rsid w:val="00A55205"/>
    <w:rsid w:val="00A55814"/>
    <w:rsid w:val="00A55C61"/>
    <w:rsid w:val="00A55CCD"/>
    <w:rsid w:val="00A56AEB"/>
    <w:rsid w:val="00A56CC7"/>
    <w:rsid w:val="00A57561"/>
    <w:rsid w:val="00A577DE"/>
    <w:rsid w:val="00A57D03"/>
    <w:rsid w:val="00A61188"/>
    <w:rsid w:val="00A6188D"/>
    <w:rsid w:val="00A618A1"/>
    <w:rsid w:val="00A619C1"/>
    <w:rsid w:val="00A61D3B"/>
    <w:rsid w:val="00A623D1"/>
    <w:rsid w:val="00A62BDB"/>
    <w:rsid w:val="00A63076"/>
    <w:rsid w:val="00A63C88"/>
    <w:rsid w:val="00A63EA2"/>
    <w:rsid w:val="00A645A8"/>
    <w:rsid w:val="00A64934"/>
    <w:rsid w:val="00A64E24"/>
    <w:rsid w:val="00A65134"/>
    <w:rsid w:val="00A656F8"/>
    <w:rsid w:val="00A6580F"/>
    <w:rsid w:val="00A65B74"/>
    <w:rsid w:val="00A65EB5"/>
    <w:rsid w:val="00A6608E"/>
    <w:rsid w:val="00A6680C"/>
    <w:rsid w:val="00A6740A"/>
    <w:rsid w:val="00A67F22"/>
    <w:rsid w:val="00A70117"/>
    <w:rsid w:val="00A708F0"/>
    <w:rsid w:val="00A7107F"/>
    <w:rsid w:val="00A71681"/>
    <w:rsid w:val="00A71B20"/>
    <w:rsid w:val="00A726C2"/>
    <w:rsid w:val="00A733A9"/>
    <w:rsid w:val="00A74208"/>
    <w:rsid w:val="00A74398"/>
    <w:rsid w:val="00A74C93"/>
    <w:rsid w:val="00A75461"/>
    <w:rsid w:val="00A75551"/>
    <w:rsid w:val="00A75722"/>
    <w:rsid w:val="00A75BA6"/>
    <w:rsid w:val="00A767C5"/>
    <w:rsid w:val="00A76D38"/>
    <w:rsid w:val="00A776BC"/>
    <w:rsid w:val="00A80F90"/>
    <w:rsid w:val="00A816F0"/>
    <w:rsid w:val="00A818D0"/>
    <w:rsid w:val="00A82798"/>
    <w:rsid w:val="00A827B2"/>
    <w:rsid w:val="00A82A6C"/>
    <w:rsid w:val="00A82A98"/>
    <w:rsid w:val="00A84255"/>
    <w:rsid w:val="00A846DC"/>
    <w:rsid w:val="00A850D1"/>
    <w:rsid w:val="00A8544E"/>
    <w:rsid w:val="00A8558A"/>
    <w:rsid w:val="00A864F9"/>
    <w:rsid w:val="00A90212"/>
    <w:rsid w:val="00A9078E"/>
    <w:rsid w:val="00A91327"/>
    <w:rsid w:val="00A91CD5"/>
    <w:rsid w:val="00A91E23"/>
    <w:rsid w:val="00A91F1A"/>
    <w:rsid w:val="00A92879"/>
    <w:rsid w:val="00A92D20"/>
    <w:rsid w:val="00A93346"/>
    <w:rsid w:val="00A936B8"/>
    <w:rsid w:val="00A9378E"/>
    <w:rsid w:val="00A93B72"/>
    <w:rsid w:val="00A9439B"/>
    <w:rsid w:val="00A94988"/>
    <w:rsid w:val="00A95036"/>
    <w:rsid w:val="00A95D20"/>
    <w:rsid w:val="00A95E5E"/>
    <w:rsid w:val="00A96520"/>
    <w:rsid w:val="00A96569"/>
    <w:rsid w:val="00A96BB0"/>
    <w:rsid w:val="00A96BE7"/>
    <w:rsid w:val="00A9779F"/>
    <w:rsid w:val="00AA0391"/>
    <w:rsid w:val="00AA06EA"/>
    <w:rsid w:val="00AA0761"/>
    <w:rsid w:val="00AA0DD5"/>
    <w:rsid w:val="00AA0F29"/>
    <w:rsid w:val="00AA2A05"/>
    <w:rsid w:val="00AA2A3D"/>
    <w:rsid w:val="00AA2F16"/>
    <w:rsid w:val="00AA347B"/>
    <w:rsid w:val="00AA34C9"/>
    <w:rsid w:val="00AA38EA"/>
    <w:rsid w:val="00AA39D0"/>
    <w:rsid w:val="00AA3B31"/>
    <w:rsid w:val="00AA3F30"/>
    <w:rsid w:val="00AA3FDA"/>
    <w:rsid w:val="00AA47BB"/>
    <w:rsid w:val="00AA47D9"/>
    <w:rsid w:val="00AA4B4F"/>
    <w:rsid w:val="00AA52F7"/>
    <w:rsid w:val="00AA5515"/>
    <w:rsid w:val="00AA556A"/>
    <w:rsid w:val="00AA5CA5"/>
    <w:rsid w:val="00AA5D1E"/>
    <w:rsid w:val="00AA5EDD"/>
    <w:rsid w:val="00AA6174"/>
    <w:rsid w:val="00AA6284"/>
    <w:rsid w:val="00AA6B3A"/>
    <w:rsid w:val="00AA6C46"/>
    <w:rsid w:val="00AA6F73"/>
    <w:rsid w:val="00AA6FF2"/>
    <w:rsid w:val="00AA734C"/>
    <w:rsid w:val="00AB06DB"/>
    <w:rsid w:val="00AB1879"/>
    <w:rsid w:val="00AB1C48"/>
    <w:rsid w:val="00AB38EC"/>
    <w:rsid w:val="00AB3E12"/>
    <w:rsid w:val="00AB41E6"/>
    <w:rsid w:val="00AB4354"/>
    <w:rsid w:val="00AB48D9"/>
    <w:rsid w:val="00AB4E5B"/>
    <w:rsid w:val="00AB52FB"/>
    <w:rsid w:val="00AB5BD3"/>
    <w:rsid w:val="00AB600B"/>
    <w:rsid w:val="00AB6218"/>
    <w:rsid w:val="00AB6937"/>
    <w:rsid w:val="00AB7592"/>
    <w:rsid w:val="00AB7D17"/>
    <w:rsid w:val="00AC018D"/>
    <w:rsid w:val="00AC0335"/>
    <w:rsid w:val="00AC24A4"/>
    <w:rsid w:val="00AC391B"/>
    <w:rsid w:val="00AC4063"/>
    <w:rsid w:val="00AC64F0"/>
    <w:rsid w:val="00AC6826"/>
    <w:rsid w:val="00AC7057"/>
    <w:rsid w:val="00AC730F"/>
    <w:rsid w:val="00AC74BF"/>
    <w:rsid w:val="00AC798E"/>
    <w:rsid w:val="00AC7ABE"/>
    <w:rsid w:val="00AC7C5C"/>
    <w:rsid w:val="00AD140B"/>
    <w:rsid w:val="00AD1FAA"/>
    <w:rsid w:val="00AD256A"/>
    <w:rsid w:val="00AD2A4C"/>
    <w:rsid w:val="00AD2A98"/>
    <w:rsid w:val="00AD3A94"/>
    <w:rsid w:val="00AD3AA0"/>
    <w:rsid w:val="00AD4EDE"/>
    <w:rsid w:val="00AD57CD"/>
    <w:rsid w:val="00AD644E"/>
    <w:rsid w:val="00AD6997"/>
    <w:rsid w:val="00AD69EC"/>
    <w:rsid w:val="00AD75D0"/>
    <w:rsid w:val="00AD76D1"/>
    <w:rsid w:val="00AD78B1"/>
    <w:rsid w:val="00AD7E3C"/>
    <w:rsid w:val="00AE0C39"/>
    <w:rsid w:val="00AE11A3"/>
    <w:rsid w:val="00AE2995"/>
    <w:rsid w:val="00AE2B1C"/>
    <w:rsid w:val="00AE2CDC"/>
    <w:rsid w:val="00AE2DED"/>
    <w:rsid w:val="00AE4186"/>
    <w:rsid w:val="00AE43E5"/>
    <w:rsid w:val="00AE4982"/>
    <w:rsid w:val="00AE4B10"/>
    <w:rsid w:val="00AE5279"/>
    <w:rsid w:val="00AE5E25"/>
    <w:rsid w:val="00AE621D"/>
    <w:rsid w:val="00AE62E5"/>
    <w:rsid w:val="00AE6683"/>
    <w:rsid w:val="00AE6838"/>
    <w:rsid w:val="00AE6C39"/>
    <w:rsid w:val="00AE7710"/>
    <w:rsid w:val="00AF15B8"/>
    <w:rsid w:val="00AF2440"/>
    <w:rsid w:val="00AF340E"/>
    <w:rsid w:val="00AF3B03"/>
    <w:rsid w:val="00AF4E79"/>
    <w:rsid w:val="00AF502F"/>
    <w:rsid w:val="00AF598A"/>
    <w:rsid w:val="00AF5E8F"/>
    <w:rsid w:val="00AF6373"/>
    <w:rsid w:val="00AF64B2"/>
    <w:rsid w:val="00AF7027"/>
    <w:rsid w:val="00AF7946"/>
    <w:rsid w:val="00B0015B"/>
    <w:rsid w:val="00B00414"/>
    <w:rsid w:val="00B00A3B"/>
    <w:rsid w:val="00B00D60"/>
    <w:rsid w:val="00B02138"/>
    <w:rsid w:val="00B02171"/>
    <w:rsid w:val="00B02BB0"/>
    <w:rsid w:val="00B02ED0"/>
    <w:rsid w:val="00B02EEB"/>
    <w:rsid w:val="00B032D9"/>
    <w:rsid w:val="00B03358"/>
    <w:rsid w:val="00B048B2"/>
    <w:rsid w:val="00B04A25"/>
    <w:rsid w:val="00B04CE8"/>
    <w:rsid w:val="00B05151"/>
    <w:rsid w:val="00B052AE"/>
    <w:rsid w:val="00B05EDB"/>
    <w:rsid w:val="00B06031"/>
    <w:rsid w:val="00B062E6"/>
    <w:rsid w:val="00B06E32"/>
    <w:rsid w:val="00B105FE"/>
    <w:rsid w:val="00B109BE"/>
    <w:rsid w:val="00B11938"/>
    <w:rsid w:val="00B1268B"/>
    <w:rsid w:val="00B139A6"/>
    <w:rsid w:val="00B1421B"/>
    <w:rsid w:val="00B15AF6"/>
    <w:rsid w:val="00B15B9E"/>
    <w:rsid w:val="00B172EF"/>
    <w:rsid w:val="00B176FB"/>
    <w:rsid w:val="00B17A70"/>
    <w:rsid w:val="00B17B5F"/>
    <w:rsid w:val="00B20047"/>
    <w:rsid w:val="00B20A48"/>
    <w:rsid w:val="00B20B81"/>
    <w:rsid w:val="00B20C61"/>
    <w:rsid w:val="00B20CB7"/>
    <w:rsid w:val="00B20EDE"/>
    <w:rsid w:val="00B21A90"/>
    <w:rsid w:val="00B21E98"/>
    <w:rsid w:val="00B21EB2"/>
    <w:rsid w:val="00B22128"/>
    <w:rsid w:val="00B22562"/>
    <w:rsid w:val="00B229A6"/>
    <w:rsid w:val="00B24BC5"/>
    <w:rsid w:val="00B25342"/>
    <w:rsid w:val="00B266BF"/>
    <w:rsid w:val="00B26C22"/>
    <w:rsid w:val="00B26C6C"/>
    <w:rsid w:val="00B26C81"/>
    <w:rsid w:val="00B272CE"/>
    <w:rsid w:val="00B27447"/>
    <w:rsid w:val="00B27B64"/>
    <w:rsid w:val="00B30B09"/>
    <w:rsid w:val="00B3107F"/>
    <w:rsid w:val="00B31491"/>
    <w:rsid w:val="00B31EFC"/>
    <w:rsid w:val="00B3244B"/>
    <w:rsid w:val="00B325B3"/>
    <w:rsid w:val="00B32A7B"/>
    <w:rsid w:val="00B33D06"/>
    <w:rsid w:val="00B34184"/>
    <w:rsid w:val="00B34245"/>
    <w:rsid w:val="00B34411"/>
    <w:rsid w:val="00B3441C"/>
    <w:rsid w:val="00B35EEC"/>
    <w:rsid w:val="00B3600B"/>
    <w:rsid w:val="00B36931"/>
    <w:rsid w:val="00B36F62"/>
    <w:rsid w:val="00B37322"/>
    <w:rsid w:val="00B3783C"/>
    <w:rsid w:val="00B37A84"/>
    <w:rsid w:val="00B37E66"/>
    <w:rsid w:val="00B37E8B"/>
    <w:rsid w:val="00B37FDA"/>
    <w:rsid w:val="00B40AC9"/>
    <w:rsid w:val="00B40C66"/>
    <w:rsid w:val="00B40DFC"/>
    <w:rsid w:val="00B41260"/>
    <w:rsid w:val="00B419FE"/>
    <w:rsid w:val="00B43174"/>
    <w:rsid w:val="00B431A2"/>
    <w:rsid w:val="00B432FB"/>
    <w:rsid w:val="00B43682"/>
    <w:rsid w:val="00B440B8"/>
    <w:rsid w:val="00B44524"/>
    <w:rsid w:val="00B446EB"/>
    <w:rsid w:val="00B451E8"/>
    <w:rsid w:val="00B46147"/>
    <w:rsid w:val="00B464F5"/>
    <w:rsid w:val="00B4677C"/>
    <w:rsid w:val="00B46F7E"/>
    <w:rsid w:val="00B476F9"/>
    <w:rsid w:val="00B4794C"/>
    <w:rsid w:val="00B47F2D"/>
    <w:rsid w:val="00B505AF"/>
    <w:rsid w:val="00B506FD"/>
    <w:rsid w:val="00B512D1"/>
    <w:rsid w:val="00B51818"/>
    <w:rsid w:val="00B519C7"/>
    <w:rsid w:val="00B51E4C"/>
    <w:rsid w:val="00B527AD"/>
    <w:rsid w:val="00B52B93"/>
    <w:rsid w:val="00B52F4D"/>
    <w:rsid w:val="00B536C9"/>
    <w:rsid w:val="00B54CF2"/>
    <w:rsid w:val="00B5521B"/>
    <w:rsid w:val="00B554B5"/>
    <w:rsid w:val="00B55AD5"/>
    <w:rsid w:val="00B577A9"/>
    <w:rsid w:val="00B577CB"/>
    <w:rsid w:val="00B57866"/>
    <w:rsid w:val="00B606DF"/>
    <w:rsid w:val="00B60F79"/>
    <w:rsid w:val="00B61D78"/>
    <w:rsid w:val="00B623D7"/>
    <w:rsid w:val="00B623F7"/>
    <w:rsid w:val="00B629E8"/>
    <w:rsid w:val="00B62EF9"/>
    <w:rsid w:val="00B6304F"/>
    <w:rsid w:val="00B63698"/>
    <w:rsid w:val="00B638C6"/>
    <w:rsid w:val="00B63911"/>
    <w:rsid w:val="00B63DC5"/>
    <w:rsid w:val="00B63F27"/>
    <w:rsid w:val="00B64D3E"/>
    <w:rsid w:val="00B64DAD"/>
    <w:rsid w:val="00B656CE"/>
    <w:rsid w:val="00B65893"/>
    <w:rsid w:val="00B65B41"/>
    <w:rsid w:val="00B666C2"/>
    <w:rsid w:val="00B672D8"/>
    <w:rsid w:val="00B67650"/>
    <w:rsid w:val="00B70301"/>
    <w:rsid w:val="00B703CE"/>
    <w:rsid w:val="00B7088C"/>
    <w:rsid w:val="00B71698"/>
    <w:rsid w:val="00B71780"/>
    <w:rsid w:val="00B71819"/>
    <w:rsid w:val="00B71B6D"/>
    <w:rsid w:val="00B72871"/>
    <w:rsid w:val="00B728D7"/>
    <w:rsid w:val="00B728E9"/>
    <w:rsid w:val="00B72BE9"/>
    <w:rsid w:val="00B73C89"/>
    <w:rsid w:val="00B73FA3"/>
    <w:rsid w:val="00B7421C"/>
    <w:rsid w:val="00B74777"/>
    <w:rsid w:val="00B74ACB"/>
    <w:rsid w:val="00B751E2"/>
    <w:rsid w:val="00B77FC1"/>
    <w:rsid w:val="00B805D3"/>
    <w:rsid w:val="00B81EE9"/>
    <w:rsid w:val="00B82232"/>
    <w:rsid w:val="00B829E2"/>
    <w:rsid w:val="00B82A6E"/>
    <w:rsid w:val="00B82BD3"/>
    <w:rsid w:val="00B82CD4"/>
    <w:rsid w:val="00B83243"/>
    <w:rsid w:val="00B843C8"/>
    <w:rsid w:val="00B843E9"/>
    <w:rsid w:val="00B855E2"/>
    <w:rsid w:val="00B8573E"/>
    <w:rsid w:val="00B858E6"/>
    <w:rsid w:val="00B87095"/>
    <w:rsid w:val="00B871D6"/>
    <w:rsid w:val="00B877A5"/>
    <w:rsid w:val="00B90491"/>
    <w:rsid w:val="00B911AE"/>
    <w:rsid w:val="00B9245B"/>
    <w:rsid w:val="00B92BEB"/>
    <w:rsid w:val="00B93151"/>
    <w:rsid w:val="00B9327A"/>
    <w:rsid w:val="00B93AD2"/>
    <w:rsid w:val="00B9472B"/>
    <w:rsid w:val="00B94736"/>
    <w:rsid w:val="00B94BC8"/>
    <w:rsid w:val="00B94CAB"/>
    <w:rsid w:val="00B95963"/>
    <w:rsid w:val="00B961CF"/>
    <w:rsid w:val="00B96226"/>
    <w:rsid w:val="00B96767"/>
    <w:rsid w:val="00B96966"/>
    <w:rsid w:val="00B97583"/>
    <w:rsid w:val="00B9760B"/>
    <w:rsid w:val="00B979AC"/>
    <w:rsid w:val="00BA053D"/>
    <w:rsid w:val="00BA072E"/>
    <w:rsid w:val="00BA11C4"/>
    <w:rsid w:val="00BA19CB"/>
    <w:rsid w:val="00BA2B4B"/>
    <w:rsid w:val="00BA2B6E"/>
    <w:rsid w:val="00BA2B84"/>
    <w:rsid w:val="00BA51D8"/>
    <w:rsid w:val="00BA529F"/>
    <w:rsid w:val="00BA549D"/>
    <w:rsid w:val="00BA54E6"/>
    <w:rsid w:val="00BA582D"/>
    <w:rsid w:val="00BA61A7"/>
    <w:rsid w:val="00BA65CB"/>
    <w:rsid w:val="00BA6C49"/>
    <w:rsid w:val="00BA706C"/>
    <w:rsid w:val="00BB0459"/>
    <w:rsid w:val="00BB0C87"/>
    <w:rsid w:val="00BB0DB9"/>
    <w:rsid w:val="00BB0DEF"/>
    <w:rsid w:val="00BB1303"/>
    <w:rsid w:val="00BB22CD"/>
    <w:rsid w:val="00BB26E7"/>
    <w:rsid w:val="00BB2AC2"/>
    <w:rsid w:val="00BB2DF3"/>
    <w:rsid w:val="00BB2EB4"/>
    <w:rsid w:val="00BB3C03"/>
    <w:rsid w:val="00BB41EA"/>
    <w:rsid w:val="00BB41EE"/>
    <w:rsid w:val="00BB4E92"/>
    <w:rsid w:val="00BB522E"/>
    <w:rsid w:val="00BB56F5"/>
    <w:rsid w:val="00BB690C"/>
    <w:rsid w:val="00BB6944"/>
    <w:rsid w:val="00BB6BE0"/>
    <w:rsid w:val="00BB78A9"/>
    <w:rsid w:val="00BB7A4A"/>
    <w:rsid w:val="00BC04B5"/>
    <w:rsid w:val="00BC0580"/>
    <w:rsid w:val="00BC1930"/>
    <w:rsid w:val="00BC1AA6"/>
    <w:rsid w:val="00BC2672"/>
    <w:rsid w:val="00BC39DC"/>
    <w:rsid w:val="00BC3EFD"/>
    <w:rsid w:val="00BC4225"/>
    <w:rsid w:val="00BC5AE9"/>
    <w:rsid w:val="00BC5CF7"/>
    <w:rsid w:val="00BC6ACC"/>
    <w:rsid w:val="00BC6F99"/>
    <w:rsid w:val="00BC728B"/>
    <w:rsid w:val="00BC767E"/>
    <w:rsid w:val="00BC7B5E"/>
    <w:rsid w:val="00BC7F50"/>
    <w:rsid w:val="00BC7FD9"/>
    <w:rsid w:val="00BD0184"/>
    <w:rsid w:val="00BD0187"/>
    <w:rsid w:val="00BD08A9"/>
    <w:rsid w:val="00BD0970"/>
    <w:rsid w:val="00BD13ED"/>
    <w:rsid w:val="00BD1744"/>
    <w:rsid w:val="00BD2F80"/>
    <w:rsid w:val="00BD36EE"/>
    <w:rsid w:val="00BD409B"/>
    <w:rsid w:val="00BD4F79"/>
    <w:rsid w:val="00BD50A8"/>
    <w:rsid w:val="00BD5154"/>
    <w:rsid w:val="00BD56D8"/>
    <w:rsid w:val="00BD5CC0"/>
    <w:rsid w:val="00BD659D"/>
    <w:rsid w:val="00BD6AB8"/>
    <w:rsid w:val="00BD6D55"/>
    <w:rsid w:val="00BD726E"/>
    <w:rsid w:val="00BD7B2C"/>
    <w:rsid w:val="00BD7DD9"/>
    <w:rsid w:val="00BE0EF0"/>
    <w:rsid w:val="00BE1984"/>
    <w:rsid w:val="00BE1A4C"/>
    <w:rsid w:val="00BE1EC5"/>
    <w:rsid w:val="00BE2434"/>
    <w:rsid w:val="00BE248B"/>
    <w:rsid w:val="00BE2B67"/>
    <w:rsid w:val="00BE4305"/>
    <w:rsid w:val="00BE48B5"/>
    <w:rsid w:val="00BE6DDD"/>
    <w:rsid w:val="00BE74C3"/>
    <w:rsid w:val="00BE790D"/>
    <w:rsid w:val="00BE7B4B"/>
    <w:rsid w:val="00BF12E0"/>
    <w:rsid w:val="00BF15B1"/>
    <w:rsid w:val="00BF17E7"/>
    <w:rsid w:val="00BF2224"/>
    <w:rsid w:val="00BF236E"/>
    <w:rsid w:val="00BF361C"/>
    <w:rsid w:val="00BF396C"/>
    <w:rsid w:val="00BF39C1"/>
    <w:rsid w:val="00BF3F9A"/>
    <w:rsid w:val="00BF4407"/>
    <w:rsid w:val="00BF5082"/>
    <w:rsid w:val="00BF5190"/>
    <w:rsid w:val="00BF51D6"/>
    <w:rsid w:val="00BF6276"/>
    <w:rsid w:val="00BF6F57"/>
    <w:rsid w:val="00BF7542"/>
    <w:rsid w:val="00C00C1D"/>
    <w:rsid w:val="00C02168"/>
    <w:rsid w:val="00C02193"/>
    <w:rsid w:val="00C03226"/>
    <w:rsid w:val="00C0353C"/>
    <w:rsid w:val="00C0356A"/>
    <w:rsid w:val="00C039C7"/>
    <w:rsid w:val="00C03B03"/>
    <w:rsid w:val="00C03BF8"/>
    <w:rsid w:val="00C043E4"/>
    <w:rsid w:val="00C062BC"/>
    <w:rsid w:val="00C07418"/>
    <w:rsid w:val="00C074D9"/>
    <w:rsid w:val="00C07BF5"/>
    <w:rsid w:val="00C10865"/>
    <w:rsid w:val="00C10BE5"/>
    <w:rsid w:val="00C10CE0"/>
    <w:rsid w:val="00C124FB"/>
    <w:rsid w:val="00C12531"/>
    <w:rsid w:val="00C14042"/>
    <w:rsid w:val="00C14E1A"/>
    <w:rsid w:val="00C15424"/>
    <w:rsid w:val="00C15667"/>
    <w:rsid w:val="00C16639"/>
    <w:rsid w:val="00C16DCE"/>
    <w:rsid w:val="00C20C7B"/>
    <w:rsid w:val="00C210C9"/>
    <w:rsid w:val="00C21967"/>
    <w:rsid w:val="00C21C95"/>
    <w:rsid w:val="00C230AA"/>
    <w:rsid w:val="00C234AD"/>
    <w:rsid w:val="00C24310"/>
    <w:rsid w:val="00C2462E"/>
    <w:rsid w:val="00C246C5"/>
    <w:rsid w:val="00C25308"/>
    <w:rsid w:val="00C25317"/>
    <w:rsid w:val="00C25A96"/>
    <w:rsid w:val="00C26505"/>
    <w:rsid w:val="00C26C0E"/>
    <w:rsid w:val="00C2723D"/>
    <w:rsid w:val="00C2740D"/>
    <w:rsid w:val="00C276A8"/>
    <w:rsid w:val="00C277FE"/>
    <w:rsid w:val="00C27EDA"/>
    <w:rsid w:val="00C30939"/>
    <w:rsid w:val="00C30D14"/>
    <w:rsid w:val="00C314A8"/>
    <w:rsid w:val="00C3166C"/>
    <w:rsid w:val="00C3166D"/>
    <w:rsid w:val="00C316D2"/>
    <w:rsid w:val="00C326B9"/>
    <w:rsid w:val="00C329A7"/>
    <w:rsid w:val="00C32A3C"/>
    <w:rsid w:val="00C32AFA"/>
    <w:rsid w:val="00C33815"/>
    <w:rsid w:val="00C34555"/>
    <w:rsid w:val="00C34A66"/>
    <w:rsid w:val="00C357EC"/>
    <w:rsid w:val="00C369EE"/>
    <w:rsid w:val="00C40437"/>
    <w:rsid w:val="00C407D5"/>
    <w:rsid w:val="00C4099F"/>
    <w:rsid w:val="00C40F78"/>
    <w:rsid w:val="00C42019"/>
    <w:rsid w:val="00C423BA"/>
    <w:rsid w:val="00C4253D"/>
    <w:rsid w:val="00C4331F"/>
    <w:rsid w:val="00C43696"/>
    <w:rsid w:val="00C44514"/>
    <w:rsid w:val="00C44A73"/>
    <w:rsid w:val="00C44D5F"/>
    <w:rsid w:val="00C45268"/>
    <w:rsid w:val="00C453CB"/>
    <w:rsid w:val="00C45438"/>
    <w:rsid w:val="00C45771"/>
    <w:rsid w:val="00C45927"/>
    <w:rsid w:val="00C45E5C"/>
    <w:rsid w:val="00C45EB6"/>
    <w:rsid w:val="00C46CD5"/>
    <w:rsid w:val="00C505FA"/>
    <w:rsid w:val="00C5068E"/>
    <w:rsid w:val="00C5072F"/>
    <w:rsid w:val="00C51BAC"/>
    <w:rsid w:val="00C521B9"/>
    <w:rsid w:val="00C52245"/>
    <w:rsid w:val="00C5234F"/>
    <w:rsid w:val="00C5246A"/>
    <w:rsid w:val="00C52E39"/>
    <w:rsid w:val="00C53163"/>
    <w:rsid w:val="00C531D8"/>
    <w:rsid w:val="00C53207"/>
    <w:rsid w:val="00C533BC"/>
    <w:rsid w:val="00C54716"/>
    <w:rsid w:val="00C55800"/>
    <w:rsid w:val="00C5600B"/>
    <w:rsid w:val="00C56D93"/>
    <w:rsid w:val="00C56F7B"/>
    <w:rsid w:val="00C578BE"/>
    <w:rsid w:val="00C57D1A"/>
    <w:rsid w:val="00C616B7"/>
    <w:rsid w:val="00C6275D"/>
    <w:rsid w:val="00C6355C"/>
    <w:rsid w:val="00C63A8C"/>
    <w:rsid w:val="00C63D57"/>
    <w:rsid w:val="00C650D4"/>
    <w:rsid w:val="00C66018"/>
    <w:rsid w:val="00C660BE"/>
    <w:rsid w:val="00C673FD"/>
    <w:rsid w:val="00C67846"/>
    <w:rsid w:val="00C67E97"/>
    <w:rsid w:val="00C70EB5"/>
    <w:rsid w:val="00C70F9F"/>
    <w:rsid w:val="00C710A6"/>
    <w:rsid w:val="00C713CA"/>
    <w:rsid w:val="00C71FF2"/>
    <w:rsid w:val="00C7235F"/>
    <w:rsid w:val="00C7276B"/>
    <w:rsid w:val="00C73032"/>
    <w:rsid w:val="00C741CE"/>
    <w:rsid w:val="00C75321"/>
    <w:rsid w:val="00C76C99"/>
    <w:rsid w:val="00C805EE"/>
    <w:rsid w:val="00C8075E"/>
    <w:rsid w:val="00C80B64"/>
    <w:rsid w:val="00C80E52"/>
    <w:rsid w:val="00C8111F"/>
    <w:rsid w:val="00C811B2"/>
    <w:rsid w:val="00C817B1"/>
    <w:rsid w:val="00C827EF"/>
    <w:rsid w:val="00C82B4E"/>
    <w:rsid w:val="00C83145"/>
    <w:rsid w:val="00C83DF4"/>
    <w:rsid w:val="00C84C84"/>
    <w:rsid w:val="00C85E3C"/>
    <w:rsid w:val="00C86330"/>
    <w:rsid w:val="00C86CDC"/>
    <w:rsid w:val="00C872F8"/>
    <w:rsid w:val="00C874CC"/>
    <w:rsid w:val="00C8795D"/>
    <w:rsid w:val="00C9005E"/>
    <w:rsid w:val="00C90507"/>
    <w:rsid w:val="00C907D2"/>
    <w:rsid w:val="00C909CD"/>
    <w:rsid w:val="00C90BD0"/>
    <w:rsid w:val="00C91A1C"/>
    <w:rsid w:val="00C924F7"/>
    <w:rsid w:val="00C92A7E"/>
    <w:rsid w:val="00C92CDF"/>
    <w:rsid w:val="00C92DE6"/>
    <w:rsid w:val="00C9310C"/>
    <w:rsid w:val="00C9343E"/>
    <w:rsid w:val="00C94304"/>
    <w:rsid w:val="00C948C7"/>
    <w:rsid w:val="00C94A37"/>
    <w:rsid w:val="00C94BD4"/>
    <w:rsid w:val="00C95537"/>
    <w:rsid w:val="00C958B7"/>
    <w:rsid w:val="00C96229"/>
    <w:rsid w:val="00C96FFD"/>
    <w:rsid w:val="00C97865"/>
    <w:rsid w:val="00CA08C1"/>
    <w:rsid w:val="00CA1035"/>
    <w:rsid w:val="00CA144B"/>
    <w:rsid w:val="00CA1B6E"/>
    <w:rsid w:val="00CA231D"/>
    <w:rsid w:val="00CA266C"/>
    <w:rsid w:val="00CA3075"/>
    <w:rsid w:val="00CA3A0B"/>
    <w:rsid w:val="00CA3B43"/>
    <w:rsid w:val="00CA3DF5"/>
    <w:rsid w:val="00CA40AD"/>
    <w:rsid w:val="00CA484E"/>
    <w:rsid w:val="00CA4BD6"/>
    <w:rsid w:val="00CA556B"/>
    <w:rsid w:val="00CA5AB9"/>
    <w:rsid w:val="00CA5AEF"/>
    <w:rsid w:val="00CA5B28"/>
    <w:rsid w:val="00CA663E"/>
    <w:rsid w:val="00CA6699"/>
    <w:rsid w:val="00CA6A40"/>
    <w:rsid w:val="00CA6C6A"/>
    <w:rsid w:val="00CA6D34"/>
    <w:rsid w:val="00CA7BC6"/>
    <w:rsid w:val="00CA7F54"/>
    <w:rsid w:val="00CB056A"/>
    <w:rsid w:val="00CB088C"/>
    <w:rsid w:val="00CB10A6"/>
    <w:rsid w:val="00CB13FB"/>
    <w:rsid w:val="00CB15D1"/>
    <w:rsid w:val="00CB17CB"/>
    <w:rsid w:val="00CB1B6D"/>
    <w:rsid w:val="00CB1DFC"/>
    <w:rsid w:val="00CB2BE2"/>
    <w:rsid w:val="00CB32D2"/>
    <w:rsid w:val="00CB3E12"/>
    <w:rsid w:val="00CB4163"/>
    <w:rsid w:val="00CB4C8A"/>
    <w:rsid w:val="00CB50D1"/>
    <w:rsid w:val="00CB5388"/>
    <w:rsid w:val="00CB5B35"/>
    <w:rsid w:val="00CB6977"/>
    <w:rsid w:val="00CB6DAB"/>
    <w:rsid w:val="00CB7C72"/>
    <w:rsid w:val="00CC0B3E"/>
    <w:rsid w:val="00CC0E1A"/>
    <w:rsid w:val="00CC12B8"/>
    <w:rsid w:val="00CC12E9"/>
    <w:rsid w:val="00CC17DE"/>
    <w:rsid w:val="00CC1ABD"/>
    <w:rsid w:val="00CC24C9"/>
    <w:rsid w:val="00CC279C"/>
    <w:rsid w:val="00CC4227"/>
    <w:rsid w:val="00CC461F"/>
    <w:rsid w:val="00CC4C0A"/>
    <w:rsid w:val="00CC5218"/>
    <w:rsid w:val="00CC5B0A"/>
    <w:rsid w:val="00CC62D4"/>
    <w:rsid w:val="00CC6BF3"/>
    <w:rsid w:val="00CD0265"/>
    <w:rsid w:val="00CD055B"/>
    <w:rsid w:val="00CD110D"/>
    <w:rsid w:val="00CD1147"/>
    <w:rsid w:val="00CD15F0"/>
    <w:rsid w:val="00CD1842"/>
    <w:rsid w:val="00CD184A"/>
    <w:rsid w:val="00CD1D1E"/>
    <w:rsid w:val="00CD22D9"/>
    <w:rsid w:val="00CD25F3"/>
    <w:rsid w:val="00CD277F"/>
    <w:rsid w:val="00CD32CA"/>
    <w:rsid w:val="00CD33AC"/>
    <w:rsid w:val="00CD44ED"/>
    <w:rsid w:val="00CD5B18"/>
    <w:rsid w:val="00CD652D"/>
    <w:rsid w:val="00CD6A5D"/>
    <w:rsid w:val="00CD7B33"/>
    <w:rsid w:val="00CD7B47"/>
    <w:rsid w:val="00CD7D38"/>
    <w:rsid w:val="00CE086E"/>
    <w:rsid w:val="00CE0A1A"/>
    <w:rsid w:val="00CE116B"/>
    <w:rsid w:val="00CE1862"/>
    <w:rsid w:val="00CE20CB"/>
    <w:rsid w:val="00CE219C"/>
    <w:rsid w:val="00CE23F6"/>
    <w:rsid w:val="00CE2F4E"/>
    <w:rsid w:val="00CE3BDE"/>
    <w:rsid w:val="00CE4221"/>
    <w:rsid w:val="00CE4C9B"/>
    <w:rsid w:val="00CE57D1"/>
    <w:rsid w:val="00CE60CD"/>
    <w:rsid w:val="00CE7454"/>
    <w:rsid w:val="00CF06E9"/>
    <w:rsid w:val="00CF0C96"/>
    <w:rsid w:val="00CF0DBE"/>
    <w:rsid w:val="00CF1648"/>
    <w:rsid w:val="00CF1840"/>
    <w:rsid w:val="00CF1844"/>
    <w:rsid w:val="00CF1AE5"/>
    <w:rsid w:val="00CF2A5D"/>
    <w:rsid w:val="00CF2E88"/>
    <w:rsid w:val="00CF2EAC"/>
    <w:rsid w:val="00CF2FEC"/>
    <w:rsid w:val="00CF3E63"/>
    <w:rsid w:val="00CF412C"/>
    <w:rsid w:val="00CF4258"/>
    <w:rsid w:val="00CF484F"/>
    <w:rsid w:val="00CF4A18"/>
    <w:rsid w:val="00CF4CF0"/>
    <w:rsid w:val="00CF531F"/>
    <w:rsid w:val="00CF5F6B"/>
    <w:rsid w:val="00CF6192"/>
    <w:rsid w:val="00CF6F5F"/>
    <w:rsid w:val="00CF6FB3"/>
    <w:rsid w:val="00CF74EF"/>
    <w:rsid w:val="00CF7AFF"/>
    <w:rsid w:val="00CF7C39"/>
    <w:rsid w:val="00CF7CBF"/>
    <w:rsid w:val="00D00788"/>
    <w:rsid w:val="00D008AA"/>
    <w:rsid w:val="00D017F5"/>
    <w:rsid w:val="00D01C08"/>
    <w:rsid w:val="00D01FC8"/>
    <w:rsid w:val="00D033D3"/>
    <w:rsid w:val="00D03A32"/>
    <w:rsid w:val="00D03C49"/>
    <w:rsid w:val="00D042C3"/>
    <w:rsid w:val="00D0430F"/>
    <w:rsid w:val="00D04465"/>
    <w:rsid w:val="00D04CF3"/>
    <w:rsid w:val="00D057A4"/>
    <w:rsid w:val="00D069AF"/>
    <w:rsid w:val="00D102E3"/>
    <w:rsid w:val="00D1088D"/>
    <w:rsid w:val="00D10F1F"/>
    <w:rsid w:val="00D1101D"/>
    <w:rsid w:val="00D11881"/>
    <w:rsid w:val="00D11A6C"/>
    <w:rsid w:val="00D11B01"/>
    <w:rsid w:val="00D12623"/>
    <w:rsid w:val="00D13318"/>
    <w:rsid w:val="00D135AD"/>
    <w:rsid w:val="00D13ABE"/>
    <w:rsid w:val="00D13D25"/>
    <w:rsid w:val="00D13F5E"/>
    <w:rsid w:val="00D14301"/>
    <w:rsid w:val="00D14CEA"/>
    <w:rsid w:val="00D155FC"/>
    <w:rsid w:val="00D16351"/>
    <w:rsid w:val="00D16A35"/>
    <w:rsid w:val="00D17645"/>
    <w:rsid w:val="00D176D2"/>
    <w:rsid w:val="00D200E6"/>
    <w:rsid w:val="00D20615"/>
    <w:rsid w:val="00D20B7C"/>
    <w:rsid w:val="00D20C12"/>
    <w:rsid w:val="00D21459"/>
    <w:rsid w:val="00D21ECD"/>
    <w:rsid w:val="00D22204"/>
    <w:rsid w:val="00D225DB"/>
    <w:rsid w:val="00D2276D"/>
    <w:rsid w:val="00D23377"/>
    <w:rsid w:val="00D23564"/>
    <w:rsid w:val="00D236E4"/>
    <w:rsid w:val="00D258D9"/>
    <w:rsid w:val="00D26E12"/>
    <w:rsid w:val="00D27C2F"/>
    <w:rsid w:val="00D305AA"/>
    <w:rsid w:val="00D30717"/>
    <w:rsid w:val="00D31863"/>
    <w:rsid w:val="00D31AAE"/>
    <w:rsid w:val="00D32584"/>
    <w:rsid w:val="00D334A1"/>
    <w:rsid w:val="00D338FE"/>
    <w:rsid w:val="00D33DA9"/>
    <w:rsid w:val="00D341F9"/>
    <w:rsid w:val="00D34657"/>
    <w:rsid w:val="00D3469A"/>
    <w:rsid w:val="00D3488B"/>
    <w:rsid w:val="00D3553A"/>
    <w:rsid w:val="00D35E0C"/>
    <w:rsid w:val="00D35E95"/>
    <w:rsid w:val="00D371C2"/>
    <w:rsid w:val="00D374EB"/>
    <w:rsid w:val="00D3781D"/>
    <w:rsid w:val="00D37C44"/>
    <w:rsid w:val="00D422AB"/>
    <w:rsid w:val="00D422B8"/>
    <w:rsid w:val="00D44B91"/>
    <w:rsid w:val="00D45365"/>
    <w:rsid w:val="00D4554B"/>
    <w:rsid w:val="00D45769"/>
    <w:rsid w:val="00D45BF6"/>
    <w:rsid w:val="00D46C90"/>
    <w:rsid w:val="00D47183"/>
    <w:rsid w:val="00D47609"/>
    <w:rsid w:val="00D4776C"/>
    <w:rsid w:val="00D47918"/>
    <w:rsid w:val="00D47CDB"/>
    <w:rsid w:val="00D47FEC"/>
    <w:rsid w:val="00D50A36"/>
    <w:rsid w:val="00D521B0"/>
    <w:rsid w:val="00D524B0"/>
    <w:rsid w:val="00D53151"/>
    <w:rsid w:val="00D538EC"/>
    <w:rsid w:val="00D54961"/>
    <w:rsid w:val="00D54BB7"/>
    <w:rsid w:val="00D54E83"/>
    <w:rsid w:val="00D54ECC"/>
    <w:rsid w:val="00D551B1"/>
    <w:rsid w:val="00D55645"/>
    <w:rsid w:val="00D55663"/>
    <w:rsid w:val="00D556A6"/>
    <w:rsid w:val="00D55CAC"/>
    <w:rsid w:val="00D55E54"/>
    <w:rsid w:val="00D564C4"/>
    <w:rsid w:val="00D57249"/>
    <w:rsid w:val="00D57DD6"/>
    <w:rsid w:val="00D57E41"/>
    <w:rsid w:val="00D608F7"/>
    <w:rsid w:val="00D613DA"/>
    <w:rsid w:val="00D614F1"/>
    <w:rsid w:val="00D61EFA"/>
    <w:rsid w:val="00D62E34"/>
    <w:rsid w:val="00D63653"/>
    <w:rsid w:val="00D64858"/>
    <w:rsid w:val="00D64C18"/>
    <w:rsid w:val="00D6514A"/>
    <w:rsid w:val="00D652FF"/>
    <w:rsid w:val="00D670D7"/>
    <w:rsid w:val="00D67372"/>
    <w:rsid w:val="00D6739D"/>
    <w:rsid w:val="00D67464"/>
    <w:rsid w:val="00D675A2"/>
    <w:rsid w:val="00D67AD3"/>
    <w:rsid w:val="00D70B3C"/>
    <w:rsid w:val="00D70F0A"/>
    <w:rsid w:val="00D71694"/>
    <w:rsid w:val="00D739E9"/>
    <w:rsid w:val="00D750E5"/>
    <w:rsid w:val="00D75949"/>
    <w:rsid w:val="00D75A60"/>
    <w:rsid w:val="00D75A88"/>
    <w:rsid w:val="00D75ABD"/>
    <w:rsid w:val="00D760BF"/>
    <w:rsid w:val="00D766F6"/>
    <w:rsid w:val="00D770BB"/>
    <w:rsid w:val="00D7715A"/>
    <w:rsid w:val="00D77332"/>
    <w:rsid w:val="00D8016D"/>
    <w:rsid w:val="00D80330"/>
    <w:rsid w:val="00D803C1"/>
    <w:rsid w:val="00D8077F"/>
    <w:rsid w:val="00D81BC5"/>
    <w:rsid w:val="00D82246"/>
    <w:rsid w:val="00D827F9"/>
    <w:rsid w:val="00D82C84"/>
    <w:rsid w:val="00D82C91"/>
    <w:rsid w:val="00D83168"/>
    <w:rsid w:val="00D846EB"/>
    <w:rsid w:val="00D84DA4"/>
    <w:rsid w:val="00D854E6"/>
    <w:rsid w:val="00D85856"/>
    <w:rsid w:val="00D85DC7"/>
    <w:rsid w:val="00D860F0"/>
    <w:rsid w:val="00D86470"/>
    <w:rsid w:val="00D8700F"/>
    <w:rsid w:val="00D876A7"/>
    <w:rsid w:val="00D87772"/>
    <w:rsid w:val="00D90137"/>
    <w:rsid w:val="00D90893"/>
    <w:rsid w:val="00D90E46"/>
    <w:rsid w:val="00D90EB8"/>
    <w:rsid w:val="00D91337"/>
    <w:rsid w:val="00D918C3"/>
    <w:rsid w:val="00D9210F"/>
    <w:rsid w:val="00D92114"/>
    <w:rsid w:val="00D9212D"/>
    <w:rsid w:val="00D924E9"/>
    <w:rsid w:val="00D925C0"/>
    <w:rsid w:val="00D93309"/>
    <w:rsid w:val="00D9501E"/>
    <w:rsid w:val="00D96BDF"/>
    <w:rsid w:val="00D978FE"/>
    <w:rsid w:val="00D97B12"/>
    <w:rsid w:val="00DA0537"/>
    <w:rsid w:val="00DA128C"/>
    <w:rsid w:val="00DA155E"/>
    <w:rsid w:val="00DA1D89"/>
    <w:rsid w:val="00DA24A3"/>
    <w:rsid w:val="00DA2838"/>
    <w:rsid w:val="00DA2942"/>
    <w:rsid w:val="00DA2A47"/>
    <w:rsid w:val="00DA2A59"/>
    <w:rsid w:val="00DA3178"/>
    <w:rsid w:val="00DA35EE"/>
    <w:rsid w:val="00DA434D"/>
    <w:rsid w:val="00DA4BFE"/>
    <w:rsid w:val="00DA55C6"/>
    <w:rsid w:val="00DA5FD5"/>
    <w:rsid w:val="00DA6562"/>
    <w:rsid w:val="00DA6CDB"/>
    <w:rsid w:val="00DA78F6"/>
    <w:rsid w:val="00DB0279"/>
    <w:rsid w:val="00DB0C64"/>
    <w:rsid w:val="00DB2509"/>
    <w:rsid w:val="00DB290F"/>
    <w:rsid w:val="00DB315B"/>
    <w:rsid w:val="00DB340B"/>
    <w:rsid w:val="00DB3D9E"/>
    <w:rsid w:val="00DB4194"/>
    <w:rsid w:val="00DB42DD"/>
    <w:rsid w:val="00DB4914"/>
    <w:rsid w:val="00DB5735"/>
    <w:rsid w:val="00DB721F"/>
    <w:rsid w:val="00DB7856"/>
    <w:rsid w:val="00DC02D4"/>
    <w:rsid w:val="00DC095C"/>
    <w:rsid w:val="00DC164B"/>
    <w:rsid w:val="00DC1E36"/>
    <w:rsid w:val="00DC1E8B"/>
    <w:rsid w:val="00DC2B4A"/>
    <w:rsid w:val="00DC2C47"/>
    <w:rsid w:val="00DC2D99"/>
    <w:rsid w:val="00DC2E8B"/>
    <w:rsid w:val="00DC331E"/>
    <w:rsid w:val="00DC339C"/>
    <w:rsid w:val="00DC3560"/>
    <w:rsid w:val="00DC38B6"/>
    <w:rsid w:val="00DC3C9D"/>
    <w:rsid w:val="00DC3E32"/>
    <w:rsid w:val="00DC4016"/>
    <w:rsid w:val="00DC4AA7"/>
    <w:rsid w:val="00DC4CBE"/>
    <w:rsid w:val="00DC650E"/>
    <w:rsid w:val="00DC6754"/>
    <w:rsid w:val="00DC67BF"/>
    <w:rsid w:val="00DC6B4F"/>
    <w:rsid w:val="00DC6F2D"/>
    <w:rsid w:val="00DC7E83"/>
    <w:rsid w:val="00DD00B0"/>
    <w:rsid w:val="00DD04E0"/>
    <w:rsid w:val="00DD0D7F"/>
    <w:rsid w:val="00DD0F5C"/>
    <w:rsid w:val="00DD12EF"/>
    <w:rsid w:val="00DD12F1"/>
    <w:rsid w:val="00DD280F"/>
    <w:rsid w:val="00DD2CF2"/>
    <w:rsid w:val="00DD2E7E"/>
    <w:rsid w:val="00DD4EC7"/>
    <w:rsid w:val="00DD4F48"/>
    <w:rsid w:val="00DD51A0"/>
    <w:rsid w:val="00DD540B"/>
    <w:rsid w:val="00DD5E4E"/>
    <w:rsid w:val="00DD617E"/>
    <w:rsid w:val="00DD7217"/>
    <w:rsid w:val="00DE02E3"/>
    <w:rsid w:val="00DE0D5E"/>
    <w:rsid w:val="00DE1512"/>
    <w:rsid w:val="00DE18EA"/>
    <w:rsid w:val="00DE1E4E"/>
    <w:rsid w:val="00DE1E62"/>
    <w:rsid w:val="00DE22FE"/>
    <w:rsid w:val="00DE2D1A"/>
    <w:rsid w:val="00DE34D1"/>
    <w:rsid w:val="00DE427E"/>
    <w:rsid w:val="00DE4350"/>
    <w:rsid w:val="00DE5469"/>
    <w:rsid w:val="00DE54B2"/>
    <w:rsid w:val="00DE5D94"/>
    <w:rsid w:val="00DE6DA4"/>
    <w:rsid w:val="00DE7796"/>
    <w:rsid w:val="00DE7C47"/>
    <w:rsid w:val="00DE7D7F"/>
    <w:rsid w:val="00DE7DAF"/>
    <w:rsid w:val="00DE7EE3"/>
    <w:rsid w:val="00DF13BA"/>
    <w:rsid w:val="00DF1EC8"/>
    <w:rsid w:val="00DF222D"/>
    <w:rsid w:val="00DF2A0B"/>
    <w:rsid w:val="00DF2B19"/>
    <w:rsid w:val="00DF3CA5"/>
    <w:rsid w:val="00DF50EE"/>
    <w:rsid w:val="00DF52C1"/>
    <w:rsid w:val="00DF5466"/>
    <w:rsid w:val="00DF54A7"/>
    <w:rsid w:val="00DF5837"/>
    <w:rsid w:val="00DF5838"/>
    <w:rsid w:val="00DF5DCC"/>
    <w:rsid w:val="00DF67BD"/>
    <w:rsid w:val="00DF6B61"/>
    <w:rsid w:val="00DF726C"/>
    <w:rsid w:val="00DF7715"/>
    <w:rsid w:val="00DF7781"/>
    <w:rsid w:val="00DF7F40"/>
    <w:rsid w:val="00E00B98"/>
    <w:rsid w:val="00E01430"/>
    <w:rsid w:val="00E021E1"/>
    <w:rsid w:val="00E02FC4"/>
    <w:rsid w:val="00E0395D"/>
    <w:rsid w:val="00E03B90"/>
    <w:rsid w:val="00E03BC4"/>
    <w:rsid w:val="00E04146"/>
    <w:rsid w:val="00E047B3"/>
    <w:rsid w:val="00E058EB"/>
    <w:rsid w:val="00E05D7E"/>
    <w:rsid w:val="00E07C83"/>
    <w:rsid w:val="00E11178"/>
    <w:rsid w:val="00E11E08"/>
    <w:rsid w:val="00E12B16"/>
    <w:rsid w:val="00E1503D"/>
    <w:rsid w:val="00E151FF"/>
    <w:rsid w:val="00E156E0"/>
    <w:rsid w:val="00E15B84"/>
    <w:rsid w:val="00E15C69"/>
    <w:rsid w:val="00E1660E"/>
    <w:rsid w:val="00E171B2"/>
    <w:rsid w:val="00E1792A"/>
    <w:rsid w:val="00E179B0"/>
    <w:rsid w:val="00E179F4"/>
    <w:rsid w:val="00E17A11"/>
    <w:rsid w:val="00E209F5"/>
    <w:rsid w:val="00E21493"/>
    <w:rsid w:val="00E21704"/>
    <w:rsid w:val="00E21C88"/>
    <w:rsid w:val="00E2203D"/>
    <w:rsid w:val="00E226A3"/>
    <w:rsid w:val="00E230F1"/>
    <w:rsid w:val="00E2345F"/>
    <w:rsid w:val="00E23472"/>
    <w:rsid w:val="00E23F31"/>
    <w:rsid w:val="00E23FB0"/>
    <w:rsid w:val="00E24444"/>
    <w:rsid w:val="00E25367"/>
    <w:rsid w:val="00E2560B"/>
    <w:rsid w:val="00E25A09"/>
    <w:rsid w:val="00E25D2A"/>
    <w:rsid w:val="00E26187"/>
    <w:rsid w:val="00E26502"/>
    <w:rsid w:val="00E26B51"/>
    <w:rsid w:val="00E27112"/>
    <w:rsid w:val="00E27252"/>
    <w:rsid w:val="00E27837"/>
    <w:rsid w:val="00E279CD"/>
    <w:rsid w:val="00E27E8D"/>
    <w:rsid w:val="00E308EE"/>
    <w:rsid w:val="00E31760"/>
    <w:rsid w:val="00E31FB8"/>
    <w:rsid w:val="00E3317D"/>
    <w:rsid w:val="00E33A06"/>
    <w:rsid w:val="00E33CB8"/>
    <w:rsid w:val="00E33D33"/>
    <w:rsid w:val="00E345A0"/>
    <w:rsid w:val="00E35C15"/>
    <w:rsid w:val="00E360FB"/>
    <w:rsid w:val="00E37C6E"/>
    <w:rsid w:val="00E37D20"/>
    <w:rsid w:val="00E37EB9"/>
    <w:rsid w:val="00E406CF"/>
    <w:rsid w:val="00E40DAC"/>
    <w:rsid w:val="00E41268"/>
    <w:rsid w:val="00E41A2F"/>
    <w:rsid w:val="00E41C07"/>
    <w:rsid w:val="00E41C85"/>
    <w:rsid w:val="00E41DE9"/>
    <w:rsid w:val="00E426AF"/>
    <w:rsid w:val="00E43AAE"/>
    <w:rsid w:val="00E43EF1"/>
    <w:rsid w:val="00E443F3"/>
    <w:rsid w:val="00E465E9"/>
    <w:rsid w:val="00E46707"/>
    <w:rsid w:val="00E46FBC"/>
    <w:rsid w:val="00E471CF"/>
    <w:rsid w:val="00E4742E"/>
    <w:rsid w:val="00E4748E"/>
    <w:rsid w:val="00E476CC"/>
    <w:rsid w:val="00E478E9"/>
    <w:rsid w:val="00E479F9"/>
    <w:rsid w:val="00E501A0"/>
    <w:rsid w:val="00E513DE"/>
    <w:rsid w:val="00E514E2"/>
    <w:rsid w:val="00E51581"/>
    <w:rsid w:val="00E52271"/>
    <w:rsid w:val="00E527EF"/>
    <w:rsid w:val="00E52BBC"/>
    <w:rsid w:val="00E53AAE"/>
    <w:rsid w:val="00E54406"/>
    <w:rsid w:val="00E54A03"/>
    <w:rsid w:val="00E54BF3"/>
    <w:rsid w:val="00E54C8E"/>
    <w:rsid w:val="00E54D37"/>
    <w:rsid w:val="00E54F83"/>
    <w:rsid w:val="00E550C5"/>
    <w:rsid w:val="00E5511B"/>
    <w:rsid w:val="00E555BF"/>
    <w:rsid w:val="00E56D24"/>
    <w:rsid w:val="00E56F5C"/>
    <w:rsid w:val="00E57448"/>
    <w:rsid w:val="00E579A9"/>
    <w:rsid w:val="00E60959"/>
    <w:rsid w:val="00E609D8"/>
    <w:rsid w:val="00E60C98"/>
    <w:rsid w:val="00E60CE8"/>
    <w:rsid w:val="00E62940"/>
    <w:rsid w:val="00E62E11"/>
    <w:rsid w:val="00E63E05"/>
    <w:rsid w:val="00E64268"/>
    <w:rsid w:val="00E6461B"/>
    <w:rsid w:val="00E647A3"/>
    <w:rsid w:val="00E65370"/>
    <w:rsid w:val="00E6543C"/>
    <w:rsid w:val="00E658F2"/>
    <w:rsid w:val="00E6673D"/>
    <w:rsid w:val="00E6695D"/>
    <w:rsid w:val="00E67E6A"/>
    <w:rsid w:val="00E7062A"/>
    <w:rsid w:val="00E72375"/>
    <w:rsid w:val="00E7255F"/>
    <w:rsid w:val="00E73471"/>
    <w:rsid w:val="00E73802"/>
    <w:rsid w:val="00E73A63"/>
    <w:rsid w:val="00E74A37"/>
    <w:rsid w:val="00E75C63"/>
    <w:rsid w:val="00E76088"/>
    <w:rsid w:val="00E76876"/>
    <w:rsid w:val="00E76B92"/>
    <w:rsid w:val="00E76EFA"/>
    <w:rsid w:val="00E77404"/>
    <w:rsid w:val="00E778F9"/>
    <w:rsid w:val="00E77DD2"/>
    <w:rsid w:val="00E800F7"/>
    <w:rsid w:val="00E80BAA"/>
    <w:rsid w:val="00E80E57"/>
    <w:rsid w:val="00E8160B"/>
    <w:rsid w:val="00E82EC6"/>
    <w:rsid w:val="00E83641"/>
    <w:rsid w:val="00E8368D"/>
    <w:rsid w:val="00E8455F"/>
    <w:rsid w:val="00E85BE1"/>
    <w:rsid w:val="00E87441"/>
    <w:rsid w:val="00E90663"/>
    <w:rsid w:val="00E90B8D"/>
    <w:rsid w:val="00E90C07"/>
    <w:rsid w:val="00E91430"/>
    <w:rsid w:val="00E9152B"/>
    <w:rsid w:val="00E92C16"/>
    <w:rsid w:val="00E92D67"/>
    <w:rsid w:val="00E93449"/>
    <w:rsid w:val="00E93619"/>
    <w:rsid w:val="00E93CB0"/>
    <w:rsid w:val="00E93EA9"/>
    <w:rsid w:val="00E94D42"/>
    <w:rsid w:val="00E94EAC"/>
    <w:rsid w:val="00E95603"/>
    <w:rsid w:val="00E95748"/>
    <w:rsid w:val="00E95B32"/>
    <w:rsid w:val="00E95BFA"/>
    <w:rsid w:val="00E967DE"/>
    <w:rsid w:val="00E96FA4"/>
    <w:rsid w:val="00E9703B"/>
    <w:rsid w:val="00E97336"/>
    <w:rsid w:val="00E973DC"/>
    <w:rsid w:val="00E97BB4"/>
    <w:rsid w:val="00EA0DE6"/>
    <w:rsid w:val="00EA26AF"/>
    <w:rsid w:val="00EA392F"/>
    <w:rsid w:val="00EA3E0C"/>
    <w:rsid w:val="00EA3FFA"/>
    <w:rsid w:val="00EA413A"/>
    <w:rsid w:val="00EA43CE"/>
    <w:rsid w:val="00EA4D36"/>
    <w:rsid w:val="00EA4E73"/>
    <w:rsid w:val="00EA4F2B"/>
    <w:rsid w:val="00EA5028"/>
    <w:rsid w:val="00EA5120"/>
    <w:rsid w:val="00EA62C8"/>
    <w:rsid w:val="00EA64EE"/>
    <w:rsid w:val="00EA7E76"/>
    <w:rsid w:val="00EB035D"/>
    <w:rsid w:val="00EB0363"/>
    <w:rsid w:val="00EB077A"/>
    <w:rsid w:val="00EB197C"/>
    <w:rsid w:val="00EB1F5F"/>
    <w:rsid w:val="00EB1FB5"/>
    <w:rsid w:val="00EB2088"/>
    <w:rsid w:val="00EB2694"/>
    <w:rsid w:val="00EB2783"/>
    <w:rsid w:val="00EB2A03"/>
    <w:rsid w:val="00EB318D"/>
    <w:rsid w:val="00EB3B36"/>
    <w:rsid w:val="00EB4315"/>
    <w:rsid w:val="00EB4B4A"/>
    <w:rsid w:val="00EB552E"/>
    <w:rsid w:val="00EB561D"/>
    <w:rsid w:val="00EB5F08"/>
    <w:rsid w:val="00EB6104"/>
    <w:rsid w:val="00EB61EC"/>
    <w:rsid w:val="00EB6D07"/>
    <w:rsid w:val="00EB6D0F"/>
    <w:rsid w:val="00EB71BF"/>
    <w:rsid w:val="00EC10E4"/>
    <w:rsid w:val="00EC1670"/>
    <w:rsid w:val="00EC223E"/>
    <w:rsid w:val="00EC224E"/>
    <w:rsid w:val="00EC2C24"/>
    <w:rsid w:val="00EC2C45"/>
    <w:rsid w:val="00EC3100"/>
    <w:rsid w:val="00EC3904"/>
    <w:rsid w:val="00EC3B2D"/>
    <w:rsid w:val="00EC3BB8"/>
    <w:rsid w:val="00EC3D62"/>
    <w:rsid w:val="00EC3E1A"/>
    <w:rsid w:val="00EC5293"/>
    <w:rsid w:val="00EC52AA"/>
    <w:rsid w:val="00EC556C"/>
    <w:rsid w:val="00EC5B36"/>
    <w:rsid w:val="00EC64F5"/>
    <w:rsid w:val="00EC653F"/>
    <w:rsid w:val="00EC6DE6"/>
    <w:rsid w:val="00EC72F7"/>
    <w:rsid w:val="00EC7B6B"/>
    <w:rsid w:val="00EC7E71"/>
    <w:rsid w:val="00ED0263"/>
    <w:rsid w:val="00ED044F"/>
    <w:rsid w:val="00ED119B"/>
    <w:rsid w:val="00ED1AA7"/>
    <w:rsid w:val="00ED1E84"/>
    <w:rsid w:val="00ED245B"/>
    <w:rsid w:val="00ED2BF0"/>
    <w:rsid w:val="00ED2D5A"/>
    <w:rsid w:val="00ED312D"/>
    <w:rsid w:val="00ED3294"/>
    <w:rsid w:val="00ED33AD"/>
    <w:rsid w:val="00ED348F"/>
    <w:rsid w:val="00ED3703"/>
    <w:rsid w:val="00ED3AB1"/>
    <w:rsid w:val="00ED486D"/>
    <w:rsid w:val="00ED4E3E"/>
    <w:rsid w:val="00ED5189"/>
    <w:rsid w:val="00ED58F5"/>
    <w:rsid w:val="00ED5AF9"/>
    <w:rsid w:val="00ED6032"/>
    <w:rsid w:val="00ED63BA"/>
    <w:rsid w:val="00ED7D88"/>
    <w:rsid w:val="00ED7FDC"/>
    <w:rsid w:val="00EE0238"/>
    <w:rsid w:val="00EE0F82"/>
    <w:rsid w:val="00EE1154"/>
    <w:rsid w:val="00EE11AD"/>
    <w:rsid w:val="00EE1253"/>
    <w:rsid w:val="00EE1D01"/>
    <w:rsid w:val="00EE291B"/>
    <w:rsid w:val="00EE2C87"/>
    <w:rsid w:val="00EE2CFB"/>
    <w:rsid w:val="00EE3256"/>
    <w:rsid w:val="00EE380F"/>
    <w:rsid w:val="00EE4960"/>
    <w:rsid w:val="00EE507D"/>
    <w:rsid w:val="00EE6B2E"/>
    <w:rsid w:val="00EE6E73"/>
    <w:rsid w:val="00EF0048"/>
    <w:rsid w:val="00EF030A"/>
    <w:rsid w:val="00EF08FD"/>
    <w:rsid w:val="00EF1D0A"/>
    <w:rsid w:val="00EF2246"/>
    <w:rsid w:val="00EF2932"/>
    <w:rsid w:val="00EF353F"/>
    <w:rsid w:val="00EF41DF"/>
    <w:rsid w:val="00EF433E"/>
    <w:rsid w:val="00EF4379"/>
    <w:rsid w:val="00EF4E79"/>
    <w:rsid w:val="00EF4F1D"/>
    <w:rsid w:val="00EF5361"/>
    <w:rsid w:val="00EF615B"/>
    <w:rsid w:val="00EF68A6"/>
    <w:rsid w:val="00EF69FD"/>
    <w:rsid w:val="00EF7278"/>
    <w:rsid w:val="00EF7ACD"/>
    <w:rsid w:val="00EF7E49"/>
    <w:rsid w:val="00F004AD"/>
    <w:rsid w:val="00F00595"/>
    <w:rsid w:val="00F01340"/>
    <w:rsid w:val="00F01A43"/>
    <w:rsid w:val="00F03779"/>
    <w:rsid w:val="00F04BA4"/>
    <w:rsid w:val="00F0579E"/>
    <w:rsid w:val="00F068A1"/>
    <w:rsid w:val="00F07617"/>
    <w:rsid w:val="00F07962"/>
    <w:rsid w:val="00F07DCC"/>
    <w:rsid w:val="00F10324"/>
    <w:rsid w:val="00F10AF7"/>
    <w:rsid w:val="00F10DFE"/>
    <w:rsid w:val="00F10E5A"/>
    <w:rsid w:val="00F11082"/>
    <w:rsid w:val="00F1156B"/>
    <w:rsid w:val="00F12722"/>
    <w:rsid w:val="00F12BDF"/>
    <w:rsid w:val="00F1330A"/>
    <w:rsid w:val="00F13F6B"/>
    <w:rsid w:val="00F14CF4"/>
    <w:rsid w:val="00F14F8C"/>
    <w:rsid w:val="00F1510A"/>
    <w:rsid w:val="00F15307"/>
    <w:rsid w:val="00F155C7"/>
    <w:rsid w:val="00F15C68"/>
    <w:rsid w:val="00F1608C"/>
    <w:rsid w:val="00F16101"/>
    <w:rsid w:val="00F164F2"/>
    <w:rsid w:val="00F16FCA"/>
    <w:rsid w:val="00F17F82"/>
    <w:rsid w:val="00F2016D"/>
    <w:rsid w:val="00F2076F"/>
    <w:rsid w:val="00F209C3"/>
    <w:rsid w:val="00F20BA0"/>
    <w:rsid w:val="00F2263B"/>
    <w:rsid w:val="00F22851"/>
    <w:rsid w:val="00F22E4D"/>
    <w:rsid w:val="00F2309E"/>
    <w:rsid w:val="00F2320D"/>
    <w:rsid w:val="00F23253"/>
    <w:rsid w:val="00F233F5"/>
    <w:rsid w:val="00F235B0"/>
    <w:rsid w:val="00F2364B"/>
    <w:rsid w:val="00F23DB7"/>
    <w:rsid w:val="00F24D69"/>
    <w:rsid w:val="00F25381"/>
    <w:rsid w:val="00F255E4"/>
    <w:rsid w:val="00F25903"/>
    <w:rsid w:val="00F25FCC"/>
    <w:rsid w:val="00F2619B"/>
    <w:rsid w:val="00F26762"/>
    <w:rsid w:val="00F26B6E"/>
    <w:rsid w:val="00F26E98"/>
    <w:rsid w:val="00F27429"/>
    <w:rsid w:val="00F278AE"/>
    <w:rsid w:val="00F27D63"/>
    <w:rsid w:val="00F27DB1"/>
    <w:rsid w:val="00F30D0F"/>
    <w:rsid w:val="00F30ECE"/>
    <w:rsid w:val="00F32221"/>
    <w:rsid w:val="00F32D79"/>
    <w:rsid w:val="00F3380B"/>
    <w:rsid w:val="00F338E5"/>
    <w:rsid w:val="00F33D67"/>
    <w:rsid w:val="00F345AB"/>
    <w:rsid w:val="00F34CAB"/>
    <w:rsid w:val="00F360AC"/>
    <w:rsid w:val="00F37B48"/>
    <w:rsid w:val="00F40807"/>
    <w:rsid w:val="00F40B70"/>
    <w:rsid w:val="00F41CF2"/>
    <w:rsid w:val="00F420A6"/>
    <w:rsid w:val="00F42DD7"/>
    <w:rsid w:val="00F430EE"/>
    <w:rsid w:val="00F43C75"/>
    <w:rsid w:val="00F43D02"/>
    <w:rsid w:val="00F43EBD"/>
    <w:rsid w:val="00F444FB"/>
    <w:rsid w:val="00F450F0"/>
    <w:rsid w:val="00F450F8"/>
    <w:rsid w:val="00F4559C"/>
    <w:rsid w:val="00F46247"/>
    <w:rsid w:val="00F46BD7"/>
    <w:rsid w:val="00F46EC2"/>
    <w:rsid w:val="00F47271"/>
    <w:rsid w:val="00F47565"/>
    <w:rsid w:val="00F477E1"/>
    <w:rsid w:val="00F500B8"/>
    <w:rsid w:val="00F50475"/>
    <w:rsid w:val="00F50625"/>
    <w:rsid w:val="00F50AF1"/>
    <w:rsid w:val="00F50BEC"/>
    <w:rsid w:val="00F515E7"/>
    <w:rsid w:val="00F51B62"/>
    <w:rsid w:val="00F51E73"/>
    <w:rsid w:val="00F52759"/>
    <w:rsid w:val="00F53556"/>
    <w:rsid w:val="00F53E82"/>
    <w:rsid w:val="00F54181"/>
    <w:rsid w:val="00F541CE"/>
    <w:rsid w:val="00F5452B"/>
    <w:rsid w:val="00F5470C"/>
    <w:rsid w:val="00F54B8B"/>
    <w:rsid w:val="00F54F28"/>
    <w:rsid w:val="00F551F4"/>
    <w:rsid w:val="00F5579B"/>
    <w:rsid w:val="00F55C5A"/>
    <w:rsid w:val="00F55E2F"/>
    <w:rsid w:val="00F56C8C"/>
    <w:rsid w:val="00F575F1"/>
    <w:rsid w:val="00F57B3C"/>
    <w:rsid w:val="00F6058C"/>
    <w:rsid w:val="00F611B2"/>
    <w:rsid w:val="00F61EA7"/>
    <w:rsid w:val="00F61ED8"/>
    <w:rsid w:val="00F6206C"/>
    <w:rsid w:val="00F62376"/>
    <w:rsid w:val="00F62E42"/>
    <w:rsid w:val="00F632D8"/>
    <w:rsid w:val="00F63652"/>
    <w:rsid w:val="00F63E57"/>
    <w:rsid w:val="00F64821"/>
    <w:rsid w:val="00F64EBD"/>
    <w:rsid w:val="00F657A9"/>
    <w:rsid w:val="00F6606F"/>
    <w:rsid w:val="00F677F0"/>
    <w:rsid w:val="00F67944"/>
    <w:rsid w:val="00F67CE2"/>
    <w:rsid w:val="00F7126E"/>
    <w:rsid w:val="00F71AAA"/>
    <w:rsid w:val="00F71C73"/>
    <w:rsid w:val="00F731F4"/>
    <w:rsid w:val="00F731F6"/>
    <w:rsid w:val="00F737D6"/>
    <w:rsid w:val="00F73EAE"/>
    <w:rsid w:val="00F744DD"/>
    <w:rsid w:val="00F74803"/>
    <w:rsid w:val="00F74D57"/>
    <w:rsid w:val="00F74EFB"/>
    <w:rsid w:val="00F75ED3"/>
    <w:rsid w:val="00F76B58"/>
    <w:rsid w:val="00F76C06"/>
    <w:rsid w:val="00F76D4D"/>
    <w:rsid w:val="00F774A8"/>
    <w:rsid w:val="00F77911"/>
    <w:rsid w:val="00F80720"/>
    <w:rsid w:val="00F808B1"/>
    <w:rsid w:val="00F80AE4"/>
    <w:rsid w:val="00F816F9"/>
    <w:rsid w:val="00F81A72"/>
    <w:rsid w:val="00F81C2A"/>
    <w:rsid w:val="00F81F15"/>
    <w:rsid w:val="00F8366A"/>
    <w:rsid w:val="00F839D2"/>
    <w:rsid w:val="00F84078"/>
    <w:rsid w:val="00F840E4"/>
    <w:rsid w:val="00F84138"/>
    <w:rsid w:val="00F84375"/>
    <w:rsid w:val="00F843B3"/>
    <w:rsid w:val="00F849C8"/>
    <w:rsid w:val="00F84EC6"/>
    <w:rsid w:val="00F855B9"/>
    <w:rsid w:val="00F8567B"/>
    <w:rsid w:val="00F86EE6"/>
    <w:rsid w:val="00F87343"/>
    <w:rsid w:val="00F877F7"/>
    <w:rsid w:val="00F878E6"/>
    <w:rsid w:val="00F900BE"/>
    <w:rsid w:val="00F90C8C"/>
    <w:rsid w:val="00F91241"/>
    <w:rsid w:val="00F917B6"/>
    <w:rsid w:val="00F91E97"/>
    <w:rsid w:val="00F921F1"/>
    <w:rsid w:val="00F92CFA"/>
    <w:rsid w:val="00F92EF7"/>
    <w:rsid w:val="00F92FAD"/>
    <w:rsid w:val="00F932B0"/>
    <w:rsid w:val="00F933BB"/>
    <w:rsid w:val="00F93B5A"/>
    <w:rsid w:val="00F93D3A"/>
    <w:rsid w:val="00F955DD"/>
    <w:rsid w:val="00F96415"/>
    <w:rsid w:val="00F96CAD"/>
    <w:rsid w:val="00F96D48"/>
    <w:rsid w:val="00F9774F"/>
    <w:rsid w:val="00F97E94"/>
    <w:rsid w:val="00FA0137"/>
    <w:rsid w:val="00FA0240"/>
    <w:rsid w:val="00FA0634"/>
    <w:rsid w:val="00FA0C77"/>
    <w:rsid w:val="00FA0D81"/>
    <w:rsid w:val="00FA0DF0"/>
    <w:rsid w:val="00FA3659"/>
    <w:rsid w:val="00FA390B"/>
    <w:rsid w:val="00FA3E3D"/>
    <w:rsid w:val="00FA42D3"/>
    <w:rsid w:val="00FA431F"/>
    <w:rsid w:val="00FA4394"/>
    <w:rsid w:val="00FA4CB7"/>
    <w:rsid w:val="00FA5126"/>
    <w:rsid w:val="00FA545C"/>
    <w:rsid w:val="00FA605A"/>
    <w:rsid w:val="00FA6991"/>
    <w:rsid w:val="00FA6B4C"/>
    <w:rsid w:val="00FB12C1"/>
    <w:rsid w:val="00FB132A"/>
    <w:rsid w:val="00FB1564"/>
    <w:rsid w:val="00FB1D28"/>
    <w:rsid w:val="00FB1DAA"/>
    <w:rsid w:val="00FB2146"/>
    <w:rsid w:val="00FB30C4"/>
    <w:rsid w:val="00FB36E7"/>
    <w:rsid w:val="00FB42D7"/>
    <w:rsid w:val="00FB4450"/>
    <w:rsid w:val="00FB5497"/>
    <w:rsid w:val="00FB54CF"/>
    <w:rsid w:val="00FB57A4"/>
    <w:rsid w:val="00FB5B24"/>
    <w:rsid w:val="00FB5F7F"/>
    <w:rsid w:val="00FB652D"/>
    <w:rsid w:val="00FB68AE"/>
    <w:rsid w:val="00FB6F1E"/>
    <w:rsid w:val="00FB773F"/>
    <w:rsid w:val="00FB77F5"/>
    <w:rsid w:val="00FB7F04"/>
    <w:rsid w:val="00FC0A75"/>
    <w:rsid w:val="00FC19CE"/>
    <w:rsid w:val="00FC328E"/>
    <w:rsid w:val="00FC334C"/>
    <w:rsid w:val="00FC36A9"/>
    <w:rsid w:val="00FC3D50"/>
    <w:rsid w:val="00FC4161"/>
    <w:rsid w:val="00FC4383"/>
    <w:rsid w:val="00FC561D"/>
    <w:rsid w:val="00FC5A11"/>
    <w:rsid w:val="00FC5AB5"/>
    <w:rsid w:val="00FC60EF"/>
    <w:rsid w:val="00FC6159"/>
    <w:rsid w:val="00FC6591"/>
    <w:rsid w:val="00FC6764"/>
    <w:rsid w:val="00FC69B0"/>
    <w:rsid w:val="00FC6BC6"/>
    <w:rsid w:val="00FC7FC3"/>
    <w:rsid w:val="00FD1EA6"/>
    <w:rsid w:val="00FD22EB"/>
    <w:rsid w:val="00FD22FD"/>
    <w:rsid w:val="00FD2B62"/>
    <w:rsid w:val="00FD30CB"/>
    <w:rsid w:val="00FD355D"/>
    <w:rsid w:val="00FD389D"/>
    <w:rsid w:val="00FD3D99"/>
    <w:rsid w:val="00FD4826"/>
    <w:rsid w:val="00FD54E8"/>
    <w:rsid w:val="00FD5AC2"/>
    <w:rsid w:val="00FD6305"/>
    <w:rsid w:val="00FD68EF"/>
    <w:rsid w:val="00FD6E71"/>
    <w:rsid w:val="00FD717F"/>
    <w:rsid w:val="00FD744D"/>
    <w:rsid w:val="00FD7B10"/>
    <w:rsid w:val="00FE013C"/>
    <w:rsid w:val="00FE04A9"/>
    <w:rsid w:val="00FE07A6"/>
    <w:rsid w:val="00FE0CD3"/>
    <w:rsid w:val="00FE17A2"/>
    <w:rsid w:val="00FE2D6D"/>
    <w:rsid w:val="00FE3B0D"/>
    <w:rsid w:val="00FE3CA8"/>
    <w:rsid w:val="00FE438E"/>
    <w:rsid w:val="00FE51D1"/>
    <w:rsid w:val="00FE5DE2"/>
    <w:rsid w:val="00FE7CBD"/>
    <w:rsid w:val="00FE7EB7"/>
    <w:rsid w:val="00FF07BC"/>
    <w:rsid w:val="00FF0A7A"/>
    <w:rsid w:val="00FF1154"/>
    <w:rsid w:val="00FF1863"/>
    <w:rsid w:val="00FF193F"/>
    <w:rsid w:val="00FF1D00"/>
    <w:rsid w:val="00FF20B0"/>
    <w:rsid w:val="00FF2A16"/>
    <w:rsid w:val="00FF2D42"/>
    <w:rsid w:val="00FF3F20"/>
    <w:rsid w:val="00FF45D7"/>
    <w:rsid w:val="00FF4B1E"/>
    <w:rsid w:val="00FF53F9"/>
    <w:rsid w:val="00FF5489"/>
    <w:rsid w:val="00FF5C55"/>
    <w:rsid w:val="00FF5F7B"/>
    <w:rsid w:val="00FF719D"/>
    <w:rsid w:val="00FF7721"/>
    <w:rsid w:val="00FF7DEF"/>
    <w:rsid w:val="00FF7E39"/>
    <w:rsid w:val="00FF7FE3"/>
    <w:rsid w:val="01AD0EB2"/>
    <w:rsid w:val="01C8298D"/>
    <w:rsid w:val="01DC28AD"/>
    <w:rsid w:val="02F6136A"/>
    <w:rsid w:val="03E43571"/>
    <w:rsid w:val="041F054D"/>
    <w:rsid w:val="05042A1F"/>
    <w:rsid w:val="05FF3738"/>
    <w:rsid w:val="065A3ABE"/>
    <w:rsid w:val="069339FD"/>
    <w:rsid w:val="07E3D69F"/>
    <w:rsid w:val="08EA1224"/>
    <w:rsid w:val="091A5787"/>
    <w:rsid w:val="0A536392"/>
    <w:rsid w:val="0A6E32C8"/>
    <w:rsid w:val="0B1C1BCC"/>
    <w:rsid w:val="0BF37901"/>
    <w:rsid w:val="0C7859C8"/>
    <w:rsid w:val="0D1F5F68"/>
    <w:rsid w:val="0E8841E4"/>
    <w:rsid w:val="0EA70287"/>
    <w:rsid w:val="0EDF2BC3"/>
    <w:rsid w:val="0EE26331"/>
    <w:rsid w:val="10260EB5"/>
    <w:rsid w:val="107976B6"/>
    <w:rsid w:val="11C42733"/>
    <w:rsid w:val="135E5195"/>
    <w:rsid w:val="137B32C6"/>
    <w:rsid w:val="14261483"/>
    <w:rsid w:val="14C024D5"/>
    <w:rsid w:val="152A33A6"/>
    <w:rsid w:val="15511E8E"/>
    <w:rsid w:val="155E005C"/>
    <w:rsid w:val="15EB3A81"/>
    <w:rsid w:val="162D4D4B"/>
    <w:rsid w:val="17471E3D"/>
    <w:rsid w:val="17D20A18"/>
    <w:rsid w:val="17D5464D"/>
    <w:rsid w:val="183F16AF"/>
    <w:rsid w:val="198E7719"/>
    <w:rsid w:val="1A2D2690"/>
    <w:rsid w:val="1B003939"/>
    <w:rsid w:val="1BD21EF1"/>
    <w:rsid w:val="1D231150"/>
    <w:rsid w:val="1D98EDC0"/>
    <w:rsid w:val="1DC71C3B"/>
    <w:rsid w:val="1E037CCB"/>
    <w:rsid w:val="1E4F8F2A"/>
    <w:rsid w:val="20FA4B2A"/>
    <w:rsid w:val="21543588"/>
    <w:rsid w:val="248112BB"/>
    <w:rsid w:val="24FE7CEE"/>
    <w:rsid w:val="2527505B"/>
    <w:rsid w:val="25323514"/>
    <w:rsid w:val="25596CEC"/>
    <w:rsid w:val="25A96022"/>
    <w:rsid w:val="25BF65FB"/>
    <w:rsid w:val="261301D0"/>
    <w:rsid w:val="275161C0"/>
    <w:rsid w:val="27636091"/>
    <w:rsid w:val="27780B9E"/>
    <w:rsid w:val="27B92076"/>
    <w:rsid w:val="294F386B"/>
    <w:rsid w:val="298E5C3E"/>
    <w:rsid w:val="2A5810FB"/>
    <w:rsid w:val="2AED4651"/>
    <w:rsid w:val="2B412D2F"/>
    <w:rsid w:val="2B75C740"/>
    <w:rsid w:val="2BCB7145"/>
    <w:rsid w:val="2C873B52"/>
    <w:rsid w:val="2D8166BA"/>
    <w:rsid w:val="2E1307CF"/>
    <w:rsid w:val="2EDA686E"/>
    <w:rsid w:val="2F735542"/>
    <w:rsid w:val="2F9D491C"/>
    <w:rsid w:val="2FB55C64"/>
    <w:rsid w:val="2FE8DC6C"/>
    <w:rsid w:val="31E2051B"/>
    <w:rsid w:val="33490893"/>
    <w:rsid w:val="34DD2503"/>
    <w:rsid w:val="365CE7B5"/>
    <w:rsid w:val="3669C457"/>
    <w:rsid w:val="36F2A147"/>
    <w:rsid w:val="37E6D33C"/>
    <w:rsid w:val="385A51F0"/>
    <w:rsid w:val="38C75008"/>
    <w:rsid w:val="38E956EF"/>
    <w:rsid w:val="39034314"/>
    <w:rsid w:val="394B230B"/>
    <w:rsid w:val="39D2307C"/>
    <w:rsid w:val="3A175247"/>
    <w:rsid w:val="3AFC221C"/>
    <w:rsid w:val="3B8A11B8"/>
    <w:rsid w:val="3B8F3158"/>
    <w:rsid w:val="3C5207B8"/>
    <w:rsid w:val="3C5B60A7"/>
    <w:rsid w:val="3CFC384E"/>
    <w:rsid w:val="3DDFF390"/>
    <w:rsid w:val="3DF6782B"/>
    <w:rsid w:val="3E40026D"/>
    <w:rsid w:val="3EE005BC"/>
    <w:rsid w:val="3EEF3E30"/>
    <w:rsid w:val="3EEFDBE9"/>
    <w:rsid w:val="3EFB670C"/>
    <w:rsid w:val="3F6726A0"/>
    <w:rsid w:val="3F6D44F1"/>
    <w:rsid w:val="3F7FC298"/>
    <w:rsid w:val="3FDC4AE9"/>
    <w:rsid w:val="3FEF7881"/>
    <w:rsid w:val="3FEFA74F"/>
    <w:rsid w:val="40B11050"/>
    <w:rsid w:val="413A6513"/>
    <w:rsid w:val="431A4213"/>
    <w:rsid w:val="44950675"/>
    <w:rsid w:val="44AE6EDD"/>
    <w:rsid w:val="4565155C"/>
    <w:rsid w:val="4585361F"/>
    <w:rsid w:val="45FF058A"/>
    <w:rsid w:val="475C5A3E"/>
    <w:rsid w:val="47711626"/>
    <w:rsid w:val="477E6905"/>
    <w:rsid w:val="47BC4EB2"/>
    <w:rsid w:val="49500888"/>
    <w:rsid w:val="4A166AD7"/>
    <w:rsid w:val="4AF15640"/>
    <w:rsid w:val="4B3774F7"/>
    <w:rsid w:val="4D37B4E1"/>
    <w:rsid w:val="4E1315AB"/>
    <w:rsid w:val="4EB879F4"/>
    <w:rsid w:val="4EBA3B7C"/>
    <w:rsid w:val="4F1843E2"/>
    <w:rsid w:val="4F577602"/>
    <w:rsid w:val="4F9BF235"/>
    <w:rsid w:val="4FD3091D"/>
    <w:rsid w:val="507765E7"/>
    <w:rsid w:val="50E20957"/>
    <w:rsid w:val="51130E63"/>
    <w:rsid w:val="529B92BB"/>
    <w:rsid w:val="541F6411"/>
    <w:rsid w:val="5453265F"/>
    <w:rsid w:val="5456598F"/>
    <w:rsid w:val="55587413"/>
    <w:rsid w:val="557D4CA8"/>
    <w:rsid w:val="560E411A"/>
    <w:rsid w:val="56FDE2D6"/>
    <w:rsid w:val="57825879"/>
    <w:rsid w:val="57D602ED"/>
    <w:rsid w:val="57FC4361"/>
    <w:rsid w:val="58977827"/>
    <w:rsid w:val="589D6127"/>
    <w:rsid w:val="58BD297B"/>
    <w:rsid w:val="5973D1F7"/>
    <w:rsid w:val="599A5FA7"/>
    <w:rsid w:val="5A9F0C15"/>
    <w:rsid w:val="5B286F51"/>
    <w:rsid w:val="5B485DAB"/>
    <w:rsid w:val="5BF7A0BA"/>
    <w:rsid w:val="5CB96F32"/>
    <w:rsid w:val="5D0773DC"/>
    <w:rsid w:val="5D3D510D"/>
    <w:rsid w:val="5DB215CF"/>
    <w:rsid w:val="5E5B11F7"/>
    <w:rsid w:val="5E6D61E0"/>
    <w:rsid w:val="5EDD0F3B"/>
    <w:rsid w:val="5F047EE5"/>
    <w:rsid w:val="5FEBC455"/>
    <w:rsid w:val="5FEC3F2C"/>
    <w:rsid w:val="608B1747"/>
    <w:rsid w:val="60B734ED"/>
    <w:rsid w:val="61B315C8"/>
    <w:rsid w:val="620121B5"/>
    <w:rsid w:val="637D3ABD"/>
    <w:rsid w:val="63D92749"/>
    <w:rsid w:val="64056CA7"/>
    <w:rsid w:val="642719D6"/>
    <w:rsid w:val="64637041"/>
    <w:rsid w:val="65B160A8"/>
    <w:rsid w:val="663463DC"/>
    <w:rsid w:val="673B40CE"/>
    <w:rsid w:val="67446DCC"/>
    <w:rsid w:val="67E66639"/>
    <w:rsid w:val="67F79909"/>
    <w:rsid w:val="68193552"/>
    <w:rsid w:val="68336A02"/>
    <w:rsid w:val="685E3EBD"/>
    <w:rsid w:val="68F67C62"/>
    <w:rsid w:val="69821313"/>
    <w:rsid w:val="69925011"/>
    <w:rsid w:val="69B52D84"/>
    <w:rsid w:val="6ABF595B"/>
    <w:rsid w:val="6C502951"/>
    <w:rsid w:val="6C8F5842"/>
    <w:rsid w:val="6CF3FCA7"/>
    <w:rsid w:val="6DC0073E"/>
    <w:rsid w:val="6DE852DE"/>
    <w:rsid w:val="6E8054D6"/>
    <w:rsid w:val="6E9047F2"/>
    <w:rsid w:val="6EDE40C4"/>
    <w:rsid w:val="6EF4B729"/>
    <w:rsid w:val="6F080FB9"/>
    <w:rsid w:val="6F665898"/>
    <w:rsid w:val="6FD7F93A"/>
    <w:rsid w:val="6FE7C9D6"/>
    <w:rsid w:val="6FF77A6E"/>
    <w:rsid w:val="6FF7A704"/>
    <w:rsid w:val="6FF84BF7"/>
    <w:rsid w:val="701B08E6"/>
    <w:rsid w:val="70954B5D"/>
    <w:rsid w:val="70DDB8DC"/>
    <w:rsid w:val="71005E36"/>
    <w:rsid w:val="713F7D4C"/>
    <w:rsid w:val="71594197"/>
    <w:rsid w:val="71D7B24D"/>
    <w:rsid w:val="72794624"/>
    <w:rsid w:val="729B5D0E"/>
    <w:rsid w:val="729B6B8D"/>
    <w:rsid w:val="72C14C8F"/>
    <w:rsid w:val="72FD47C7"/>
    <w:rsid w:val="734C16C2"/>
    <w:rsid w:val="73A707FD"/>
    <w:rsid w:val="73BFCD6F"/>
    <w:rsid w:val="75A14DA5"/>
    <w:rsid w:val="75A77426"/>
    <w:rsid w:val="767CD0F1"/>
    <w:rsid w:val="76EDE4B4"/>
    <w:rsid w:val="7736E438"/>
    <w:rsid w:val="7783287F"/>
    <w:rsid w:val="77B53160"/>
    <w:rsid w:val="77F5C8DF"/>
    <w:rsid w:val="77FD203B"/>
    <w:rsid w:val="79636111"/>
    <w:rsid w:val="7975F6F8"/>
    <w:rsid w:val="798219D5"/>
    <w:rsid w:val="79C11137"/>
    <w:rsid w:val="79C30024"/>
    <w:rsid w:val="79FEA9CC"/>
    <w:rsid w:val="7A010B4C"/>
    <w:rsid w:val="7A3C7DD6"/>
    <w:rsid w:val="7A3D8475"/>
    <w:rsid w:val="7A777060"/>
    <w:rsid w:val="7B5D704F"/>
    <w:rsid w:val="7B67DD7A"/>
    <w:rsid w:val="7B7F0533"/>
    <w:rsid w:val="7BAD7F68"/>
    <w:rsid w:val="7BBD5FDD"/>
    <w:rsid w:val="7BCB7F1A"/>
    <w:rsid w:val="7BEC31E9"/>
    <w:rsid w:val="7BFEE929"/>
    <w:rsid w:val="7CBE6DD6"/>
    <w:rsid w:val="7DA71B8D"/>
    <w:rsid w:val="7DB92012"/>
    <w:rsid w:val="7DDDE084"/>
    <w:rsid w:val="7DF2E369"/>
    <w:rsid w:val="7DFF0E76"/>
    <w:rsid w:val="7E6D2BD3"/>
    <w:rsid w:val="7E77CBA3"/>
    <w:rsid w:val="7E95F4BD"/>
    <w:rsid w:val="7E9971DB"/>
    <w:rsid w:val="7EBECA43"/>
    <w:rsid w:val="7EDB8FF4"/>
    <w:rsid w:val="7EDF2391"/>
    <w:rsid w:val="7EEF41A9"/>
    <w:rsid w:val="7F307CCF"/>
    <w:rsid w:val="7F5F9DF5"/>
    <w:rsid w:val="7FBE163B"/>
    <w:rsid w:val="7FCDAE60"/>
    <w:rsid w:val="7FD74D54"/>
    <w:rsid w:val="7FEF82E0"/>
    <w:rsid w:val="7FF30DA3"/>
    <w:rsid w:val="7FF4915B"/>
    <w:rsid w:val="7FFE4EA3"/>
    <w:rsid w:val="8266372E"/>
    <w:rsid w:val="8BEE684B"/>
    <w:rsid w:val="8FDF2A71"/>
    <w:rsid w:val="8FFF19E2"/>
    <w:rsid w:val="9F7F7EC8"/>
    <w:rsid w:val="9FDF81F8"/>
    <w:rsid w:val="A5FFA533"/>
    <w:rsid w:val="ABEFAD01"/>
    <w:rsid w:val="ACDB7441"/>
    <w:rsid w:val="AFC779DA"/>
    <w:rsid w:val="AFFB0C31"/>
    <w:rsid w:val="B7FF550F"/>
    <w:rsid w:val="B9FB29B7"/>
    <w:rsid w:val="BBF7DF29"/>
    <w:rsid w:val="BDCC5912"/>
    <w:rsid w:val="BEB1E3CA"/>
    <w:rsid w:val="BF57A338"/>
    <w:rsid w:val="BF6F4E92"/>
    <w:rsid w:val="BF8F9752"/>
    <w:rsid w:val="BFBBF5F6"/>
    <w:rsid w:val="BFDB35FA"/>
    <w:rsid w:val="C7FB896B"/>
    <w:rsid w:val="CB7F5890"/>
    <w:rsid w:val="CEE7FABE"/>
    <w:rsid w:val="CF6DC707"/>
    <w:rsid w:val="D3F70914"/>
    <w:rsid w:val="D7B1531C"/>
    <w:rsid w:val="DBEC7D53"/>
    <w:rsid w:val="DDF78CD7"/>
    <w:rsid w:val="DEBE0143"/>
    <w:rsid w:val="DF3F8458"/>
    <w:rsid w:val="DF73D37D"/>
    <w:rsid w:val="DF7E1260"/>
    <w:rsid w:val="DFAF1D8B"/>
    <w:rsid w:val="DFBFAB6C"/>
    <w:rsid w:val="DFF33D4A"/>
    <w:rsid w:val="DFF7B6E7"/>
    <w:rsid w:val="DFFF35FC"/>
    <w:rsid w:val="E2FB41DF"/>
    <w:rsid w:val="E477B9EB"/>
    <w:rsid w:val="E4DD053C"/>
    <w:rsid w:val="E5FB880A"/>
    <w:rsid w:val="EAD453F5"/>
    <w:rsid w:val="ED7081EE"/>
    <w:rsid w:val="EEE4AFD5"/>
    <w:rsid w:val="EEF3BD54"/>
    <w:rsid w:val="EEFB0C74"/>
    <w:rsid w:val="EF3F184A"/>
    <w:rsid w:val="EF7F89A2"/>
    <w:rsid w:val="F137A965"/>
    <w:rsid w:val="F1CEA1E3"/>
    <w:rsid w:val="F3CF1396"/>
    <w:rsid w:val="F6FD2F7F"/>
    <w:rsid w:val="F73F9E9A"/>
    <w:rsid w:val="F77F5D70"/>
    <w:rsid w:val="FA1E3535"/>
    <w:rsid w:val="FAFF545B"/>
    <w:rsid w:val="FB77ADAF"/>
    <w:rsid w:val="FBFD2CCC"/>
    <w:rsid w:val="FBFECD76"/>
    <w:rsid w:val="FC6FA38D"/>
    <w:rsid w:val="FD9B7B40"/>
    <w:rsid w:val="FDC3CC85"/>
    <w:rsid w:val="FDC697A2"/>
    <w:rsid w:val="FDF6BC60"/>
    <w:rsid w:val="FDFB3200"/>
    <w:rsid w:val="FDFF1624"/>
    <w:rsid w:val="FE7B4F2D"/>
    <w:rsid w:val="FEBF8325"/>
    <w:rsid w:val="FEC71BE0"/>
    <w:rsid w:val="FEEB9363"/>
    <w:rsid w:val="FEF21C3A"/>
    <w:rsid w:val="FF1D6886"/>
    <w:rsid w:val="FF79B878"/>
    <w:rsid w:val="FF7BC821"/>
    <w:rsid w:val="FF96D2FD"/>
    <w:rsid w:val="FFB7E22E"/>
    <w:rsid w:val="FFDD375E"/>
    <w:rsid w:val="FFDEC060"/>
    <w:rsid w:val="FFEB9E4D"/>
    <w:rsid w:val="FFEDAD58"/>
    <w:rsid w:val="FFF74913"/>
    <w:rsid w:val="FFFEAFEF"/>
    <w:rsid w:val="FFFF1E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qFormat="1" w:unhideWhenUsed="0" w:uiPriority="0" w:semiHidden="0" w:name="Table List 3"/>
    <w:lsdException w:uiPriority="99"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qFormat="1"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6"/>
    <w:qFormat/>
    <w:uiPriority w:val="0"/>
    <w:pPr>
      <w:keepNext/>
      <w:keepLines/>
      <w:spacing w:before="240" w:after="120" w:line="360" w:lineRule="auto"/>
      <w:ind w:left="-749" w:firstLine="1002"/>
      <w:jc w:val="center"/>
      <w:outlineLvl w:val="0"/>
    </w:pPr>
    <w:rPr>
      <w:rFonts w:ascii="宋体" w:hAnsi="宋体" w:cs="宋体"/>
      <w:kern w:val="44"/>
      <w:sz w:val="32"/>
      <w:szCs w:val="32"/>
    </w:rPr>
  </w:style>
  <w:style w:type="paragraph" w:styleId="4">
    <w:name w:val="heading 2"/>
    <w:basedOn w:val="1"/>
    <w:next w:val="1"/>
    <w:link w:val="107"/>
    <w:qFormat/>
    <w:uiPriority w:val="0"/>
    <w:pPr>
      <w:keepNext/>
      <w:keepLines/>
      <w:tabs>
        <w:tab w:val="left" w:pos="4680"/>
      </w:tabs>
      <w:adjustRightInd w:val="0"/>
      <w:snapToGrid w:val="0"/>
      <w:spacing w:line="312" w:lineRule="auto"/>
      <w:jc w:val="left"/>
      <w:outlineLvl w:val="1"/>
    </w:pPr>
    <w:rPr>
      <w:rFonts w:eastAsia="仿宋_GB2312"/>
      <w:b/>
      <w:bCs/>
      <w:kern w:val="0"/>
      <w:sz w:val="30"/>
      <w:szCs w:val="30"/>
    </w:rPr>
  </w:style>
  <w:style w:type="paragraph" w:styleId="5">
    <w:name w:val="heading 3"/>
    <w:basedOn w:val="1"/>
    <w:next w:val="1"/>
    <w:link w:val="108"/>
    <w:qFormat/>
    <w:uiPriority w:val="0"/>
    <w:pPr>
      <w:keepNext/>
      <w:keepLines/>
      <w:autoSpaceDE w:val="0"/>
      <w:autoSpaceDN w:val="0"/>
      <w:adjustRightInd w:val="0"/>
      <w:snapToGrid w:val="0"/>
      <w:spacing w:beforeLines="50" w:line="312" w:lineRule="auto"/>
      <w:outlineLvl w:val="2"/>
    </w:pPr>
    <w:rPr>
      <w:rFonts w:eastAsia="仿宋_GB2312"/>
      <w:b/>
      <w:bCs/>
      <w:kern w:val="0"/>
      <w:sz w:val="30"/>
      <w:szCs w:val="30"/>
      <w:lang w:val="zh-CN"/>
    </w:rPr>
  </w:style>
  <w:style w:type="paragraph" w:styleId="6">
    <w:name w:val="heading 4"/>
    <w:basedOn w:val="1"/>
    <w:next w:val="1"/>
    <w:link w:val="10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10"/>
    <w:qFormat/>
    <w:uiPriority w:val="0"/>
    <w:pPr>
      <w:keepNext/>
      <w:keepLines/>
      <w:spacing w:before="280" w:after="290" w:line="376" w:lineRule="auto"/>
      <w:outlineLvl w:val="4"/>
    </w:pPr>
    <w:rPr>
      <w:b/>
      <w:bCs/>
      <w:sz w:val="28"/>
      <w:szCs w:val="28"/>
    </w:rPr>
  </w:style>
  <w:style w:type="paragraph" w:styleId="8">
    <w:name w:val="heading 6"/>
    <w:basedOn w:val="1"/>
    <w:next w:val="1"/>
    <w:link w:val="111"/>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0"/>
    <w:link w:val="113"/>
    <w:qFormat/>
    <w:uiPriority w:val="0"/>
    <w:pPr>
      <w:keepNext/>
      <w:keepLines/>
      <w:widowControl/>
      <w:overflowPunct w:val="0"/>
      <w:autoSpaceDE w:val="0"/>
      <w:autoSpaceDN w:val="0"/>
      <w:adjustRightInd w:val="0"/>
      <w:snapToGrid w:val="0"/>
      <w:spacing w:beforeLines="20" w:line="220" w:lineRule="atLeast"/>
      <w:jc w:val="left"/>
      <w:textAlignment w:val="baseline"/>
      <w:outlineLvl w:val="6"/>
    </w:pPr>
    <w:rPr>
      <w:rFonts w:ascii="Arial Black" w:hAnsi="Arial Black"/>
      <w:spacing w:val="-5"/>
      <w:kern w:val="20"/>
      <w:sz w:val="18"/>
      <w:szCs w:val="20"/>
    </w:rPr>
  </w:style>
  <w:style w:type="paragraph" w:styleId="11">
    <w:name w:val="heading 8"/>
    <w:basedOn w:val="1"/>
    <w:next w:val="10"/>
    <w:link w:val="114"/>
    <w:qFormat/>
    <w:uiPriority w:val="0"/>
    <w:pPr>
      <w:keepNext/>
      <w:keepLines/>
      <w:widowControl/>
      <w:overflowPunct w:val="0"/>
      <w:autoSpaceDE w:val="0"/>
      <w:autoSpaceDN w:val="0"/>
      <w:adjustRightInd w:val="0"/>
      <w:snapToGrid w:val="0"/>
      <w:spacing w:beforeLines="20" w:line="220" w:lineRule="atLeast"/>
      <w:jc w:val="left"/>
      <w:textAlignment w:val="baseline"/>
      <w:outlineLvl w:val="7"/>
    </w:pPr>
    <w:rPr>
      <w:rFonts w:ascii="Arial Black" w:hAnsi="Arial Black"/>
      <w:spacing w:val="-5"/>
      <w:kern w:val="20"/>
      <w:sz w:val="18"/>
      <w:szCs w:val="20"/>
    </w:rPr>
  </w:style>
  <w:style w:type="paragraph" w:styleId="12">
    <w:name w:val="heading 9"/>
    <w:basedOn w:val="1"/>
    <w:next w:val="10"/>
    <w:link w:val="115"/>
    <w:qFormat/>
    <w:uiPriority w:val="0"/>
    <w:pPr>
      <w:keepNext/>
      <w:keepLines/>
      <w:widowControl/>
      <w:overflowPunct w:val="0"/>
      <w:autoSpaceDE w:val="0"/>
      <w:autoSpaceDN w:val="0"/>
      <w:adjustRightInd w:val="0"/>
      <w:snapToGrid w:val="0"/>
      <w:spacing w:beforeLines="20" w:line="220" w:lineRule="atLeast"/>
      <w:jc w:val="left"/>
      <w:textAlignment w:val="baseline"/>
      <w:outlineLvl w:val="8"/>
    </w:pPr>
    <w:rPr>
      <w:rFonts w:ascii="Arial Black" w:hAnsi="Arial Black"/>
      <w:spacing w:val="-5"/>
      <w:kern w:val="20"/>
      <w:sz w:val="18"/>
      <w:szCs w:val="20"/>
    </w:rPr>
  </w:style>
  <w:style w:type="character" w:default="1" w:styleId="96">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1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szCs w:val="24"/>
      <w:lang w:val="en-US" w:eastAsia="zh-CN" w:bidi="ar-SA"/>
    </w:rPr>
  </w:style>
  <w:style w:type="paragraph" w:styleId="10">
    <w:name w:val="Body Text"/>
    <w:basedOn w:val="1"/>
    <w:link w:val="112"/>
    <w:qFormat/>
    <w:uiPriority w:val="0"/>
    <w:pPr>
      <w:spacing w:beforeLines="30" w:afterLines="30" w:line="300" w:lineRule="auto"/>
      <w:ind w:firstLine="480" w:firstLineChars="200"/>
    </w:pPr>
    <w:rPr>
      <w:rFonts w:eastAsia="仿宋_GB2312" w:cstheme="minorBidi"/>
      <w:kern w:val="28"/>
      <w:sz w:val="24"/>
    </w:rPr>
  </w:style>
  <w:style w:type="paragraph" w:styleId="13">
    <w:name w:val="List 3"/>
    <w:basedOn w:val="1"/>
    <w:qFormat/>
    <w:uiPriority w:val="0"/>
    <w:pPr>
      <w:spacing w:line="240" w:lineRule="auto"/>
      <w:ind w:left="100" w:leftChars="400" w:hanging="200" w:hangingChars="200"/>
    </w:pPr>
  </w:style>
  <w:style w:type="paragraph" w:styleId="14">
    <w:name w:val="toc 7"/>
    <w:basedOn w:val="1"/>
    <w:next w:val="1"/>
    <w:qFormat/>
    <w:uiPriority w:val="39"/>
    <w:pPr>
      <w:ind w:left="1260"/>
      <w:jc w:val="left"/>
    </w:pPr>
    <w:rPr>
      <w:rFonts w:asciiTheme="minorHAnsi" w:hAnsiTheme="minorHAnsi"/>
      <w:sz w:val="18"/>
      <w:szCs w:val="18"/>
    </w:rPr>
  </w:style>
  <w:style w:type="paragraph" w:styleId="15">
    <w:name w:val="List Number 2"/>
    <w:basedOn w:val="1"/>
    <w:qFormat/>
    <w:uiPriority w:val="0"/>
    <w:pPr>
      <w:numPr>
        <w:ilvl w:val="0"/>
        <w:numId w:val="1"/>
      </w:numPr>
      <w:tabs>
        <w:tab w:val="left" w:pos="780"/>
      </w:tabs>
      <w:spacing w:line="240" w:lineRule="auto"/>
    </w:pPr>
  </w:style>
  <w:style w:type="paragraph" w:styleId="16">
    <w:name w:val="table of authorities"/>
    <w:basedOn w:val="1"/>
    <w:next w:val="1"/>
    <w:qFormat/>
    <w:uiPriority w:val="0"/>
    <w:pPr>
      <w:spacing w:line="240" w:lineRule="auto"/>
      <w:ind w:left="420" w:leftChars="200"/>
    </w:pPr>
  </w:style>
  <w:style w:type="paragraph" w:styleId="17">
    <w:name w:val="Note Heading"/>
    <w:basedOn w:val="1"/>
    <w:next w:val="1"/>
    <w:link w:val="117"/>
    <w:qFormat/>
    <w:uiPriority w:val="0"/>
    <w:pPr>
      <w:spacing w:line="240" w:lineRule="auto"/>
      <w:jc w:val="center"/>
    </w:pPr>
    <w:rPr>
      <w:rFonts w:eastAsiaTheme="minorEastAsia" w:cstheme="minorBidi"/>
    </w:rPr>
  </w:style>
  <w:style w:type="paragraph" w:styleId="18">
    <w:name w:val="List Bullet 4"/>
    <w:basedOn w:val="1"/>
    <w:qFormat/>
    <w:uiPriority w:val="0"/>
    <w:pPr>
      <w:tabs>
        <w:tab w:val="left" w:pos="1620"/>
        <w:tab w:val="left" w:pos="1728"/>
      </w:tabs>
      <w:spacing w:line="240" w:lineRule="auto"/>
      <w:ind w:left="425" w:hanging="137"/>
    </w:pPr>
  </w:style>
  <w:style w:type="paragraph" w:styleId="19">
    <w:name w:val="index 8"/>
    <w:basedOn w:val="1"/>
    <w:next w:val="1"/>
    <w:qFormat/>
    <w:uiPriority w:val="0"/>
    <w:pPr>
      <w:spacing w:line="240" w:lineRule="auto"/>
      <w:ind w:left="1400" w:leftChars="1400"/>
    </w:pPr>
  </w:style>
  <w:style w:type="paragraph" w:styleId="20">
    <w:name w:val="E-mail Signature"/>
    <w:basedOn w:val="1"/>
    <w:link w:val="118"/>
    <w:qFormat/>
    <w:uiPriority w:val="0"/>
    <w:pPr>
      <w:spacing w:line="240" w:lineRule="auto"/>
    </w:pPr>
    <w:rPr>
      <w:rFonts w:eastAsiaTheme="minorEastAsia" w:cstheme="minorBidi"/>
    </w:rPr>
  </w:style>
  <w:style w:type="paragraph" w:styleId="21">
    <w:name w:val="List Number"/>
    <w:basedOn w:val="1"/>
    <w:qFormat/>
    <w:uiPriority w:val="0"/>
    <w:pPr>
      <w:tabs>
        <w:tab w:val="left" w:pos="360"/>
        <w:tab w:val="left" w:pos="1728"/>
      </w:tabs>
      <w:spacing w:line="240" w:lineRule="auto"/>
      <w:ind w:left="425" w:hanging="137"/>
    </w:pPr>
  </w:style>
  <w:style w:type="paragraph" w:styleId="22">
    <w:name w:val="Normal Indent"/>
    <w:basedOn w:val="1"/>
    <w:qFormat/>
    <w:uiPriority w:val="0"/>
    <w:pPr>
      <w:spacing w:line="240" w:lineRule="auto"/>
      <w:ind w:firstLine="420" w:firstLineChars="200"/>
    </w:pPr>
  </w:style>
  <w:style w:type="paragraph" w:styleId="23">
    <w:name w:val="caption"/>
    <w:basedOn w:val="1"/>
    <w:next w:val="1"/>
    <w:qFormat/>
    <w:uiPriority w:val="0"/>
    <w:pPr>
      <w:spacing w:line="240" w:lineRule="auto"/>
    </w:pPr>
    <w:rPr>
      <w:rFonts w:ascii="Arial" w:hAnsi="Arial" w:eastAsia="黑体" w:cs="Arial"/>
      <w:sz w:val="20"/>
      <w:szCs w:val="20"/>
    </w:rPr>
  </w:style>
  <w:style w:type="paragraph" w:styleId="24">
    <w:name w:val="index 5"/>
    <w:basedOn w:val="1"/>
    <w:next w:val="1"/>
    <w:qFormat/>
    <w:uiPriority w:val="0"/>
    <w:pPr>
      <w:spacing w:line="240" w:lineRule="auto"/>
      <w:ind w:left="800" w:leftChars="800"/>
    </w:pPr>
  </w:style>
  <w:style w:type="paragraph" w:styleId="25">
    <w:name w:val="List Bullet"/>
    <w:basedOn w:val="1"/>
    <w:qFormat/>
    <w:uiPriority w:val="0"/>
    <w:pPr>
      <w:tabs>
        <w:tab w:val="left" w:pos="360"/>
        <w:tab w:val="left" w:pos="1728"/>
      </w:tabs>
      <w:spacing w:line="240" w:lineRule="auto"/>
      <w:ind w:left="425" w:hanging="137"/>
    </w:pPr>
  </w:style>
  <w:style w:type="paragraph" w:styleId="26">
    <w:name w:val="envelope address"/>
    <w:basedOn w:val="1"/>
    <w:qFormat/>
    <w:uiPriority w:val="0"/>
    <w:pPr>
      <w:snapToGrid w:val="0"/>
      <w:spacing w:line="240" w:lineRule="auto"/>
      <w:ind w:left="100" w:leftChars="1400"/>
    </w:pPr>
    <w:rPr>
      <w:rFonts w:ascii="Arial" w:hAnsi="Arial" w:cs="Arial"/>
      <w:sz w:val="24"/>
    </w:rPr>
  </w:style>
  <w:style w:type="paragraph" w:styleId="27">
    <w:name w:val="Document Map"/>
    <w:basedOn w:val="1"/>
    <w:link w:val="119"/>
    <w:qFormat/>
    <w:uiPriority w:val="0"/>
    <w:pPr>
      <w:spacing w:line="240" w:lineRule="auto"/>
    </w:pPr>
    <w:rPr>
      <w:rFonts w:ascii="宋体" w:eastAsiaTheme="minorEastAsia" w:cstheme="minorBidi"/>
      <w:sz w:val="18"/>
      <w:szCs w:val="18"/>
    </w:rPr>
  </w:style>
  <w:style w:type="paragraph" w:styleId="28">
    <w:name w:val="toa heading"/>
    <w:basedOn w:val="1"/>
    <w:next w:val="1"/>
    <w:qFormat/>
    <w:uiPriority w:val="0"/>
    <w:pPr>
      <w:spacing w:before="120" w:line="240" w:lineRule="auto"/>
    </w:pPr>
    <w:rPr>
      <w:rFonts w:ascii="Arial" w:hAnsi="Arial" w:cs="Arial"/>
      <w:sz w:val="24"/>
    </w:rPr>
  </w:style>
  <w:style w:type="paragraph" w:styleId="29">
    <w:name w:val="annotation text"/>
    <w:basedOn w:val="1"/>
    <w:link w:val="120"/>
    <w:unhideWhenUsed/>
    <w:qFormat/>
    <w:uiPriority w:val="0"/>
    <w:pPr>
      <w:jc w:val="left"/>
    </w:pPr>
  </w:style>
  <w:style w:type="paragraph" w:styleId="30">
    <w:name w:val="index 6"/>
    <w:basedOn w:val="1"/>
    <w:next w:val="1"/>
    <w:qFormat/>
    <w:uiPriority w:val="0"/>
    <w:pPr>
      <w:spacing w:line="240" w:lineRule="auto"/>
      <w:ind w:left="1000" w:leftChars="1000"/>
    </w:pPr>
  </w:style>
  <w:style w:type="paragraph" w:styleId="31">
    <w:name w:val="Salutation"/>
    <w:basedOn w:val="1"/>
    <w:next w:val="1"/>
    <w:link w:val="121"/>
    <w:qFormat/>
    <w:uiPriority w:val="0"/>
    <w:pPr>
      <w:spacing w:line="240" w:lineRule="auto"/>
    </w:pPr>
    <w:rPr>
      <w:rFonts w:eastAsiaTheme="minorEastAsia" w:cstheme="minorBidi"/>
    </w:rPr>
  </w:style>
  <w:style w:type="paragraph" w:styleId="32">
    <w:name w:val="Body Text 3"/>
    <w:basedOn w:val="1"/>
    <w:link w:val="122"/>
    <w:qFormat/>
    <w:uiPriority w:val="0"/>
    <w:pPr>
      <w:spacing w:after="120" w:line="240" w:lineRule="auto"/>
    </w:pPr>
    <w:rPr>
      <w:rFonts w:eastAsiaTheme="minorEastAsia" w:cstheme="minorBidi"/>
      <w:sz w:val="16"/>
      <w:szCs w:val="16"/>
    </w:rPr>
  </w:style>
  <w:style w:type="paragraph" w:styleId="33">
    <w:name w:val="Closing"/>
    <w:basedOn w:val="1"/>
    <w:link w:val="123"/>
    <w:qFormat/>
    <w:uiPriority w:val="0"/>
    <w:pPr>
      <w:spacing w:line="240" w:lineRule="auto"/>
      <w:ind w:left="100" w:leftChars="2100"/>
    </w:pPr>
    <w:rPr>
      <w:rFonts w:eastAsiaTheme="minorEastAsia" w:cstheme="minorBidi"/>
    </w:rPr>
  </w:style>
  <w:style w:type="paragraph" w:styleId="34">
    <w:name w:val="List Bullet 3"/>
    <w:basedOn w:val="1"/>
    <w:qFormat/>
    <w:uiPriority w:val="0"/>
    <w:pPr>
      <w:tabs>
        <w:tab w:val="left" w:pos="1200"/>
        <w:tab w:val="left" w:pos="1728"/>
      </w:tabs>
      <w:spacing w:line="240" w:lineRule="auto"/>
      <w:ind w:left="425" w:hanging="137"/>
    </w:pPr>
  </w:style>
  <w:style w:type="paragraph" w:styleId="35">
    <w:name w:val="Body Text Indent"/>
    <w:basedOn w:val="1"/>
    <w:link w:val="124"/>
    <w:qFormat/>
    <w:uiPriority w:val="0"/>
    <w:pPr>
      <w:spacing w:beforeLines="30" w:afterLines="30" w:line="300" w:lineRule="auto"/>
      <w:ind w:left="420" w:leftChars="200" w:firstLine="480" w:firstLineChars="200"/>
    </w:pPr>
    <w:rPr>
      <w:rFonts w:eastAsia="仿宋_GB2312" w:cstheme="minorBidi"/>
      <w:kern w:val="28"/>
      <w:sz w:val="24"/>
    </w:rPr>
  </w:style>
  <w:style w:type="paragraph" w:styleId="36">
    <w:name w:val="List Number 3"/>
    <w:basedOn w:val="1"/>
    <w:qFormat/>
    <w:uiPriority w:val="0"/>
    <w:pPr>
      <w:tabs>
        <w:tab w:val="left" w:pos="1200"/>
        <w:tab w:val="left" w:pos="1728"/>
      </w:tabs>
      <w:spacing w:line="240" w:lineRule="auto"/>
      <w:ind w:left="425" w:hanging="137"/>
    </w:pPr>
  </w:style>
  <w:style w:type="paragraph" w:styleId="37">
    <w:name w:val="List 2"/>
    <w:basedOn w:val="1"/>
    <w:qFormat/>
    <w:uiPriority w:val="0"/>
    <w:pPr>
      <w:spacing w:line="240" w:lineRule="auto"/>
      <w:ind w:left="100" w:leftChars="200" w:hanging="200" w:hangingChars="200"/>
    </w:pPr>
  </w:style>
  <w:style w:type="paragraph" w:styleId="38">
    <w:name w:val="List Continue"/>
    <w:basedOn w:val="1"/>
    <w:qFormat/>
    <w:uiPriority w:val="0"/>
    <w:pPr>
      <w:spacing w:after="120" w:line="240" w:lineRule="auto"/>
      <w:ind w:left="420" w:leftChars="200"/>
    </w:pPr>
  </w:style>
  <w:style w:type="paragraph" w:styleId="39">
    <w:name w:val="Block Text"/>
    <w:basedOn w:val="1"/>
    <w:qFormat/>
    <w:uiPriority w:val="0"/>
    <w:pPr>
      <w:spacing w:after="120" w:line="240" w:lineRule="auto"/>
      <w:ind w:left="1440" w:leftChars="700" w:right="1440" w:rightChars="700"/>
    </w:pPr>
  </w:style>
  <w:style w:type="paragraph" w:styleId="40">
    <w:name w:val="List Bullet 2"/>
    <w:basedOn w:val="1"/>
    <w:qFormat/>
    <w:uiPriority w:val="0"/>
    <w:pPr>
      <w:tabs>
        <w:tab w:val="left" w:pos="780"/>
        <w:tab w:val="left" w:pos="1728"/>
      </w:tabs>
      <w:spacing w:line="240" w:lineRule="auto"/>
      <w:ind w:left="425" w:hanging="137"/>
    </w:pPr>
  </w:style>
  <w:style w:type="paragraph" w:styleId="41">
    <w:name w:val="HTML Address"/>
    <w:basedOn w:val="1"/>
    <w:link w:val="125"/>
    <w:qFormat/>
    <w:uiPriority w:val="0"/>
    <w:pPr>
      <w:widowControl/>
      <w:spacing w:line="240" w:lineRule="auto"/>
      <w:jc w:val="left"/>
    </w:pPr>
    <w:rPr>
      <w:rFonts w:ascii="宋体" w:hAnsi="宋体" w:cs="宋体" w:eastAsiaTheme="minorEastAsia"/>
      <w:i/>
      <w:iCs/>
      <w:sz w:val="24"/>
    </w:rPr>
  </w:style>
  <w:style w:type="paragraph" w:styleId="42">
    <w:name w:val="index 4"/>
    <w:basedOn w:val="1"/>
    <w:next w:val="1"/>
    <w:qFormat/>
    <w:uiPriority w:val="0"/>
    <w:pPr>
      <w:spacing w:line="240" w:lineRule="auto"/>
      <w:ind w:left="600" w:leftChars="600"/>
    </w:pPr>
  </w:style>
  <w:style w:type="paragraph" w:styleId="43">
    <w:name w:val="toc 5"/>
    <w:basedOn w:val="1"/>
    <w:next w:val="1"/>
    <w:qFormat/>
    <w:uiPriority w:val="39"/>
    <w:pPr>
      <w:ind w:left="840"/>
      <w:jc w:val="left"/>
    </w:pPr>
    <w:rPr>
      <w:rFonts w:asciiTheme="minorHAnsi" w:hAnsiTheme="minorHAnsi"/>
      <w:sz w:val="18"/>
      <w:szCs w:val="18"/>
    </w:rPr>
  </w:style>
  <w:style w:type="paragraph" w:styleId="44">
    <w:name w:val="toc 3"/>
    <w:basedOn w:val="1"/>
    <w:next w:val="1"/>
    <w:link w:val="126"/>
    <w:qFormat/>
    <w:uiPriority w:val="39"/>
    <w:pPr>
      <w:ind w:left="420"/>
      <w:jc w:val="left"/>
    </w:pPr>
    <w:rPr>
      <w:rFonts w:asciiTheme="minorHAnsi" w:hAnsiTheme="minorHAnsi"/>
      <w:i/>
      <w:iCs/>
      <w:sz w:val="20"/>
      <w:szCs w:val="20"/>
    </w:rPr>
  </w:style>
  <w:style w:type="paragraph" w:styleId="45">
    <w:name w:val="Plain Text"/>
    <w:basedOn w:val="1"/>
    <w:link w:val="127"/>
    <w:qFormat/>
    <w:uiPriority w:val="0"/>
    <w:pPr>
      <w:spacing w:line="240" w:lineRule="auto"/>
      <w:jc w:val="center"/>
    </w:pPr>
    <w:rPr>
      <w:rFonts w:eastAsia="仿宋_GB2312" w:cstheme="minorBidi"/>
      <w:kern w:val="28"/>
      <w:sz w:val="24"/>
    </w:rPr>
  </w:style>
  <w:style w:type="paragraph" w:styleId="46">
    <w:name w:val="List Bullet 5"/>
    <w:basedOn w:val="1"/>
    <w:qFormat/>
    <w:uiPriority w:val="0"/>
    <w:pPr>
      <w:tabs>
        <w:tab w:val="left" w:pos="1728"/>
        <w:tab w:val="left" w:pos="2040"/>
      </w:tabs>
      <w:spacing w:line="240" w:lineRule="auto"/>
      <w:ind w:left="425" w:hanging="137"/>
    </w:pPr>
  </w:style>
  <w:style w:type="paragraph" w:styleId="47">
    <w:name w:val="List Number 4"/>
    <w:basedOn w:val="1"/>
    <w:qFormat/>
    <w:uiPriority w:val="0"/>
    <w:pPr>
      <w:tabs>
        <w:tab w:val="left" w:pos="1620"/>
        <w:tab w:val="left" w:pos="1728"/>
      </w:tabs>
      <w:spacing w:line="240" w:lineRule="auto"/>
      <w:ind w:left="425" w:hanging="137"/>
    </w:pPr>
  </w:style>
  <w:style w:type="paragraph" w:styleId="48">
    <w:name w:val="toc 8"/>
    <w:basedOn w:val="1"/>
    <w:next w:val="1"/>
    <w:qFormat/>
    <w:uiPriority w:val="39"/>
    <w:pPr>
      <w:ind w:left="1470"/>
      <w:jc w:val="left"/>
    </w:pPr>
    <w:rPr>
      <w:rFonts w:asciiTheme="minorHAnsi" w:hAnsiTheme="minorHAnsi"/>
      <w:sz w:val="18"/>
      <w:szCs w:val="18"/>
    </w:rPr>
  </w:style>
  <w:style w:type="paragraph" w:styleId="49">
    <w:name w:val="index 3"/>
    <w:basedOn w:val="1"/>
    <w:next w:val="1"/>
    <w:qFormat/>
    <w:uiPriority w:val="0"/>
    <w:pPr>
      <w:spacing w:line="240" w:lineRule="auto"/>
      <w:ind w:left="400" w:leftChars="400"/>
    </w:pPr>
  </w:style>
  <w:style w:type="paragraph" w:styleId="50">
    <w:name w:val="Date"/>
    <w:basedOn w:val="1"/>
    <w:next w:val="1"/>
    <w:link w:val="128"/>
    <w:unhideWhenUsed/>
    <w:qFormat/>
    <w:uiPriority w:val="0"/>
    <w:pPr>
      <w:ind w:left="100" w:leftChars="2500"/>
    </w:pPr>
  </w:style>
  <w:style w:type="paragraph" w:styleId="51">
    <w:name w:val="Body Text Indent 2"/>
    <w:basedOn w:val="1"/>
    <w:link w:val="129"/>
    <w:qFormat/>
    <w:uiPriority w:val="0"/>
    <w:pPr>
      <w:spacing w:beforeLines="30" w:afterLines="30" w:line="480" w:lineRule="auto"/>
      <w:ind w:left="420" w:leftChars="200" w:firstLine="480" w:firstLineChars="200"/>
    </w:pPr>
    <w:rPr>
      <w:rFonts w:eastAsia="仿宋_GB2312" w:cstheme="minorBidi"/>
      <w:kern w:val="28"/>
      <w:sz w:val="24"/>
    </w:rPr>
  </w:style>
  <w:style w:type="paragraph" w:styleId="52">
    <w:name w:val="endnote text"/>
    <w:basedOn w:val="1"/>
    <w:link w:val="130"/>
    <w:qFormat/>
    <w:uiPriority w:val="0"/>
    <w:pPr>
      <w:snapToGrid w:val="0"/>
      <w:spacing w:line="240" w:lineRule="auto"/>
      <w:jc w:val="left"/>
    </w:pPr>
    <w:rPr>
      <w:rFonts w:eastAsiaTheme="minorEastAsia" w:cstheme="minorBidi"/>
    </w:rPr>
  </w:style>
  <w:style w:type="paragraph" w:styleId="53">
    <w:name w:val="List Continue 5"/>
    <w:basedOn w:val="1"/>
    <w:qFormat/>
    <w:uiPriority w:val="0"/>
    <w:pPr>
      <w:spacing w:after="120" w:line="240" w:lineRule="auto"/>
      <w:ind w:left="2100" w:leftChars="1000"/>
    </w:pPr>
  </w:style>
  <w:style w:type="paragraph" w:styleId="54">
    <w:name w:val="Balloon Text"/>
    <w:basedOn w:val="1"/>
    <w:link w:val="131"/>
    <w:unhideWhenUsed/>
    <w:qFormat/>
    <w:uiPriority w:val="0"/>
    <w:pPr>
      <w:spacing w:line="240" w:lineRule="auto"/>
    </w:pPr>
    <w:rPr>
      <w:sz w:val="18"/>
      <w:szCs w:val="18"/>
    </w:rPr>
  </w:style>
  <w:style w:type="paragraph" w:styleId="55">
    <w:name w:val="footer"/>
    <w:basedOn w:val="1"/>
    <w:link w:val="132"/>
    <w:qFormat/>
    <w:uiPriority w:val="99"/>
    <w:pPr>
      <w:tabs>
        <w:tab w:val="center" w:pos="4153"/>
        <w:tab w:val="right" w:pos="8306"/>
      </w:tabs>
      <w:snapToGrid w:val="0"/>
      <w:spacing w:line="240" w:lineRule="auto"/>
      <w:jc w:val="left"/>
    </w:pPr>
    <w:rPr>
      <w:rFonts w:eastAsiaTheme="minorEastAsia" w:cstheme="minorBidi"/>
      <w:sz w:val="18"/>
      <w:szCs w:val="18"/>
    </w:rPr>
  </w:style>
  <w:style w:type="paragraph" w:styleId="56">
    <w:name w:val="envelope return"/>
    <w:basedOn w:val="1"/>
    <w:qFormat/>
    <w:uiPriority w:val="0"/>
    <w:pPr>
      <w:snapToGrid w:val="0"/>
      <w:spacing w:line="240" w:lineRule="auto"/>
    </w:pPr>
    <w:rPr>
      <w:rFonts w:ascii="Arial" w:hAnsi="Arial" w:cs="Arial"/>
    </w:rPr>
  </w:style>
  <w:style w:type="paragraph" w:styleId="57">
    <w:name w:val="header"/>
    <w:basedOn w:val="1"/>
    <w:link w:val="133"/>
    <w:qFormat/>
    <w:uiPriority w:val="0"/>
    <w:pPr>
      <w:pBdr>
        <w:bottom w:val="single" w:color="auto" w:sz="6" w:space="1"/>
      </w:pBdr>
      <w:tabs>
        <w:tab w:val="center" w:pos="4153"/>
        <w:tab w:val="right" w:pos="8306"/>
      </w:tabs>
      <w:snapToGrid w:val="0"/>
      <w:spacing w:beforeLines="30" w:afterLines="30" w:line="240" w:lineRule="auto"/>
      <w:ind w:firstLine="480" w:firstLineChars="200"/>
      <w:jc w:val="center"/>
    </w:pPr>
    <w:rPr>
      <w:rFonts w:eastAsia="仿宋_GB2312" w:cstheme="minorBidi"/>
      <w:kern w:val="28"/>
      <w:sz w:val="18"/>
      <w:szCs w:val="18"/>
    </w:rPr>
  </w:style>
  <w:style w:type="paragraph" w:styleId="58">
    <w:name w:val="Signature"/>
    <w:basedOn w:val="1"/>
    <w:link w:val="134"/>
    <w:qFormat/>
    <w:uiPriority w:val="0"/>
    <w:pPr>
      <w:spacing w:line="240" w:lineRule="auto"/>
      <w:ind w:left="100" w:leftChars="2100"/>
    </w:pPr>
    <w:rPr>
      <w:rFonts w:eastAsiaTheme="minorEastAsia" w:cstheme="minorBidi"/>
    </w:rPr>
  </w:style>
  <w:style w:type="paragraph" w:styleId="59">
    <w:name w:val="toc 1"/>
    <w:basedOn w:val="1"/>
    <w:next w:val="1"/>
    <w:qFormat/>
    <w:uiPriority w:val="39"/>
    <w:pPr>
      <w:spacing w:before="120" w:after="120"/>
      <w:jc w:val="left"/>
    </w:pPr>
    <w:rPr>
      <w:rFonts w:asciiTheme="minorHAnsi" w:hAnsiTheme="minorHAnsi"/>
      <w:b/>
      <w:bCs/>
      <w:caps/>
      <w:sz w:val="20"/>
      <w:szCs w:val="20"/>
    </w:rPr>
  </w:style>
  <w:style w:type="paragraph" w:styleId="60">
    <w:name w:val="List Continue 4"/>
    <w:basedOn w:val="1"/>
    <w:qFormat/>
    <w:uiPriority w:val="0"/>
    <w:pPr>
      <w:spacing w:after="120" w:line="240" w:lineRule="auto"/>
      <w:ind w:left="1680" w:leftChars="800"/>
    </w:pPr>
  </w:style>
  <w:style w:type="paragraph" w:styleId="61">
    <w:name w:val="toc 4"/>
    <w:basedOn w:val="1"/>
    <w:next w:val="1"/>
    <w:qFormat/>
    <w:uiPriority w:val="39"/>
    <w:pPr>
      <w:ind w:left="630"/>
      <w:jc w:val="left"/>
    </w:pPr>
    <w:rPr>
      <w:rFonts w:asciiTheme="minorHAnsi" w:hAnsiTheme="minorHAnsi"/>
      <w:sz w:val="18"/>
      <w:szCs w:val="18"/>
    </w:rPr>
  </w:style>
  <w:style w:type="paragraph" w:styleId="62">
    <w:name w:val="index heading"/>
    <w:basedOn w:val="1"/>
    <w:next w:val="63"/>
    <w:qFormat/>
    <w:uiPriority w:val="0"/>
    <w:pPr>
      <w:spacing w:line="240" w:lineRule="auto"/>
    </w:pPr>
    <w:rPr>
      <w:rFonts w:ascii="Arial" w:hAnsi="Arial" w:cs="Arial"/>
      <w:b/>
      <w:bCs/>
    </w:rPr>
  </w:style>
  <w:style w:type="paragraph" w:styleId="63">
    <w:name w:val="index 1"/>
    <w:basedOn w:val="1"/>
    <w:next w:val="1"/>
    <w:unhideWhenUsed/>
    <w:qFormat/>
    <w:uiPriority w:val="0"/>
  </w:style>
  <w:style w:type="paragraph" w:styleId="64">
    <w:name w:val="Subtitle"/>
    <w:basedOn w:val="1"/>
    <w:link w:val="135"/>
    <w:qFormat/>
    <w:uiPriority w:val="0"/>
    <w:pPr>
      <w:spacing w:before="240" w:after="60" w:line="312" w:lineRule="auto"/>
      <w:jc w:val="center"/>
      <w:outlineLvl w:val="1"/>
    </w:pPr>
    <w:rPr>
      <w:rFonts w:ascii="Arial" w:hAnsi="Arial" w:cs="Arial" w:eastAsiaTheme="minorEastAsia"/>
      <w:b/>
      <w:bCs/>
      <w:kern w:val="28"/>
      <w:sz w:val="32"/>
      <w:szCs w:val="32"/>
    </w:rPr>
  </w:style>
  <w:style w:type="paragraph" w:styleId="65">
    <w:name w:val="List Number 5"/>
    <w:basedOn w:val="1"/>
    <w:qFormat/>
    <w:uiPriority w:val="0"/>
    <w:pPr>
      <w:tabs>
        <w:tab w:val="left" w:pos="1728"/>
        <w:tab w:val="left" w:pos="2040"/>
      </w:tabs>
      <w:spacing w:line="240" w:lineRule="auto"/>
      <w:ind w:left="425" w:hanging="137"/>
    </w:pPr>
  </w:style>
  <w:style w:type="paragraph" w:styleId="66">
    <w:name w:val="List"/>
    <w:qFormat/>
    <w:uiPriority w:val="0"/>
    <w:pPr>
      <w:keepNext/>
    </w:pPr>
    <w:rPr>
      <w:rFonts w:ascii="Times New Roman" w:hAnsi="Times New Roman" w:eastAsia="宋体" w:cs="Times New Roman"/>
      <w:kern w:val="2"/>
      <w:sz w:val="21"/>
      <w:szCs w:val="24"/>
      <w:lang w:val="en-US" w:eastAsia="zh-CN" w:bidi="ar-SA"/>
    </w:rPr>
  </w:style>
  <w:style w:type="paragraph" w:styleId="67">
    <w:name w:val="footnote text"/>
    <w:basedOn w:val="1"/>
    <w:link w:val="136"/>
    <w:qFormat/>
    <w:uiPriority w:val="0"/>
    <w:pPr>
      <w:snapToGrid w:val="0"/>
      <w:spacing w:line="240" w:lineRule="auto"/>
      <w:jc w:val="left"/>
    </w:pPr>
    <w:rPr>
      <w:rFonts w:eastAsiaTheme="minorEastAsia" w:cstheme="minorBidi"/>
      <w:sz w:val="18"/>
      <w:szCs w:val="18"/>
    </w:rPr>
  </w:style>
  <w:style w:type="paragraph" w:styleId="68">
    <w:name w:val="toc 6"/>
    <w:basedOn w:val="1"/>
    <w:next w:val="1"/>
    <w:qFormat/>
    <w:uiPriority w:val="39"/>
    <w:pPr>
      <w:ind w:left="1050"/>
      <w:jc w:val="left"/>
    </w:pPr>
    <w:rPr>
      <w:rFonts w:asciiTheme="minorHAnsi" w:hAnsiTheme="minorHAnsi"/>
      <w:sz w:val="18"/>
      <w:szCs w:val="18"/>
    </w:rPr>
  </w:style>
  <w:style w:type="paragraph" w:styleId="69">
    <w:name w:val="List 5"/>
    <w:basedOn w:val="1"/>
    <w:qFormat/>
    <w:uiPriority w:val="0"/>
    <w:pPr>
      <w:spacing w:line="240" w:lineRule="auto"/>
      <w:ind w:left="100" w:leftChars="800" w:hanging="200" w:hangingChars="200"/>
    </w:pPr>
  </w:style>
  <w:style w:type="paragraph" w:styleId="70">
    <w:name w:val="Body Text Indent 3"/>
    <w:basedOn w:val="1"/>
    <w:link w:val="137"/>
    <w:qFormat/>
    <w:uiPriority w:val="0"/>
    <w:pPr>
      <w:spacing w:beforeLines="30" w:afterLines="30" w:line="300" w:lineRule="auto"/>
      <w:ind w:left="420" w:leftChars="200" w:firstLine="480" w:firstLineChars="200"/>
    </w:pPr>
    <w:rPr>
      <w:rFonts w:eastAsia="仿宋_GB2312" w:cstheme="minorBidi"/>
      <w:kern w:val="28"/>
      <w:sz w:val="16"/>
      <w:szCs w:val="16"/>
    </w:rPr>
  </w:style>
  <w:style w:type="paragraph" w:styleId="71">
    <w:name w:val="index 7"/>
    <w:basedOn w:val="1"/>
    <w:next w:val="1"/>
    <w:qFormat/>
    <w:uiPriority w:val="0"/>
    <w:pPr>
      <w:spacing w:line="240" w:lineRule="auto"/>
      <w:ind w:left="1200" w:leftChars="1200"/>
    </w:pPr>
  </w:style>
  <w:style w:type="paragraph" w:styleId="72">
    <w:name w:val="index 9"/>
    <w:basedOn w:val="1"/>
    <w:next w:val="1"/>
    <w:qFormat/>
    <w:uiPriority w:val="0"/>
    <w:pPr>
      <w:spacing w:line="240" w:lineRule="auto"/>
      <w:ind w:left="1600" w:leftChars="1600"/>
    </w:pPr>
  </w:style>
  <w:style w:type="paragraph" w:styleId="73">
    <w:name w:val="table of figures"/>
    <w:basedOn w:val="1"/>
    <w:next w:val="1"/>
    <w:qFormat/>
    <w:uiPriority w:val="0"/>
    <w:pPr>
      <w:spacing w:beforeLines="30" w:afterLines="30" w:line="300" w:lineRule="auto"/>
      <w:ind w:left="200" w:leftChars="200" w:hanging="200" w:hangingChars="200"/>
    </w:pPr>
    <w:rPr>
      <w:rFonts w:eastAsia="仿宋_GB2312"/>
      <w:kern w:val="28"/>
      <w:sz w:val="24"/>
    </w:rPr>
  </w:style>
  <w:style w:type="paragraph" w:styleId="74">
    <w:name w:val="toc 2"/>
    <w:basedOn w:val="1"/>
    <w:next w:val="1"/>
    <w:qFormat/>
    <w:uiPriority w:val="39"/>
    <w:pPr>
      <w:ind w:left="210"/>
      <w:jc w:val="left"/>
    </w:pPr>
    <w:rPr>
      <w:rFonts w:asciiTheme="minorHAnsi" w:hAnsiTheme="minorHAnsi"/>
      <w:smallCaps/>
      <w:sz w:val="20"/>
      <w:szCs w:val="20"/>
    </w:rPr>
  </w:style>
  <w:style w:type="paragraph" w:styleId="75">
    <w:name w:val="toc 9"/>
    <w:basedOn w:val="1"/>
    <w:next w:val="1"/>
    <w:qFormat/>
    <w:uiPriority w:val="39"/>
    <w:pPr>
      <w:ind w:left="1680"/>
      <w:jc w:val="left"/>
    </w:pPr>
    <w:rPr>
      <w:rFonts w:asciiTheme="minorHAnsi" w:hAnsiTheme="minorHAnsi"/>
      <w:sz w:val="18"/>
      <w:szCs w:val="18"/>
    </w:rPr>
  </w:style>
  <w:style w:type="paragraph" w:styleId="76">
    <w:name w:val="Body Text 2"/>
    <w:basedOn w:val="1"/>
    <w:link w:val="138"/>
    <w:qFormat/>
    <w:uiPriority w:val="0"/>
    <w:pPr>
      <w:spacing w:line="240" w:lineRule="auto"/>
    </w:pPr>
    <w:rPr>
      <w:rFonts w:eastAsiaTheme="minorEastAsia" w:cstheme="minorBidi"/>
      <w:sz w:val="24"/>
    </w:rPr>
  </w:style>
  <w:style w:type="paragraph" w:styleId="77">
    <w:name w:val="List 4"/>
    <w:basedOn w:val="1"/>
    <w:qFormat/>
    <w:uiPriority w:val="0"/>
    <w:pPr>
      <w:spacing w:line="240" w:lineRule="auto"/>
      <w:ind w:left="100" w:leftChars="600" w:hanging="200" w:hangingChars="200"/>
    </w:pPr>
  </w:style>
  <w:style w:type="paragraph" w:styleId="78">
    <w:name w:val="List Continue 2"/>
    <w:basedOn w:val="1"/>
    <w:qFormat/>
    <w:uiPriority w:val="0"/>
    <w:pPr>
      <w:spacing w:after="120" w:line="240" w:lineRule="auto"/>
      <w:ind w:left="840" w:leftChars="400"/>
    </w:pPr>
  </w:style>
  <w:style w:type="paragraph" w:styleId="79">
    <w:name w:val="Message Header"/>
    <w:basedOn w:val="1"/>
    <w:link w:val="139"/>
    <w:qFormat/>
    <w:uiPriority w:val="0"/>
    <w:pPr>
      <w:pBdr>
        <w:top w:val="single" w:color="auto" w:sz="6" w:space="1"/>
        <w:left w:val="single" w:color="auto" w:sz="6" w:space="1"/>
        <w:bottom w:val="single" w:color="auto" w:sz="6" w:space="1"/>
        <w:right w:val="single" w:color="auto" w:sz="6" w:space="1"/>
      </w:pBdr>
      <w:shd w:val="pct20" w:color="auto" w:fill="auto"/>
      <w:spacing w:line="240" w:lineRule="auto"/>
      <w:ind w:left="1080" w:leftChars="500" w:hanging="1080" w:hangingChars="500"/>
    </w:pPr>
    <w:rPr>
      <w:rFonts w:ascii="Arial" w:hAnsi="Arial" w:cs="Arial" w:eastAsiaTheme="minorEastAsia"/>
      <w:sz w:val="24"/>
    </w:rPr>
  </w:style>
  <w:style w:type="paragraph" w:styleId="80">
    <w:name w:val="HTML Preformatted"/>
    <w:basedOn w:val="1"/>
    <w:link w:val="140"/>
    <w:qFormat/>
    <w:uiPriority w:val="0"/>
    <w:pPr>
      <w:spacing w:line="240" w:lineRule="auto"/>
    </w:pPr>
    <w:rPr>
      <w:rFonts w:ascii="Courier New" w:hAnsi="Courier New" w:cs="Courier New" w:eastAsiaTheme="minorEastAsia"/>
      <w:szCs w:val="22"/>
    </w:rPr>
  </w:style>
  <w:style w:type="paragraph" w:styleId="81">
    <w:name w:val="Normal (Web)"/>
    <w:basedOn w:val="1"/>
    <w:qFormat/>
    <w:uiPriority w:val="99"/>
    <w:pPr>
      <w:widowControl/>
      <w:spacing w:before="100" w:beforeAutospacing="1" w:after="100" w:afterAutospacing="1" w:line="240" w:lineRule="auto"/>
      <w:jc w:val="left"/>
    </w:pPr>
    <w:rPr>
      <w:rFonts w:ascii="宋体" w:hAnsi="宋体" w:cs="宋体"/>
      <w:kern w:val="0"/>
      <w:sz w:val="24"/>
    </w:rPr>
  </w:style>
  <w:style w:type="paragraph" w:styleId="82">
    <w:name w:val="List Continue 3"/>
    <w:basedOn w:val="1"/>
    <w:qFormat/>
    <w:uiPriority w:val="0"/>
    <w:pPr>
      <w:spacing w:after="120" w:line="240" w:lineRule="auto"/>
      <w:ind w:left="1260" w:leftChars="600"/>
    </w:pPr>
  </w:style>
  <w:style w:type="paragraph" w:styleId="83">
    <w:name w:val="index 2"/>
    <w:basedOn w:val="1"/>
    <w:next w:val="1"/>
    <w:qFormat/>
    <w:uiPriority w:val="0"/>
    <w:pPr>
      <w:spacing w:line="240" w:lineRule="auto"/>
      <w:ind w:left="200" w:leftChars="200"/>
    </w:pPr>
  </w:style>
  <w:style w:type="paragraph" w:styleId="84">
    <w:name w:val="Title"/>
    <w:basedOn w:val="1"/>
    <w:link w:val="141"/>
    <w:qFormat/>
    <w:uiPriority w:val="0"/>
    <w:pPr>
      <w:spacing w:before="240" w:after="60" w:line="240" w:lineRule="auto"/>
      <w:jc w:val="center"/>
      <w:outlineLvl w:val="0"/>
    </w:pPr>
    <w:rPr>
      <w:rFonts w:ascii="Arial" w:hAnsi="Arial" w:cs="Arial" w:eastAsiaTheme="minorEastAsia"/>
      <w:b/>
      <w:bCs/>
      <w:sz w:val="32"/>
      <w:szCs w:val="32"/>
    </w:rPr>
  </w:style>
  <w:style w:type="paragraph" w:styleId="85">
    <w:name w:val="annotation subject"/>
    <w:basedOn w:val="29"/>
    <w:next w:val="29"/>
    <w:link w:val="142"/>
    <w:qFormat/>
    <w:uiPriority w:val="0"/>
    <w:pPr>
      <w:spacing w:line="240" w:lineRule="auto"/>
    </w:pPr>
    <w:rPr>
      <w:rFonts w:eastAsiaTheme="minorEastAsia" w:cstheme="minorBidi"/>
      <w:b/>
      <w:bCs/>
    </w:rPr>
  </w:style>
  <w:style w:type="paragraph" w:styleId="86">
    <w:name w:val="Body Text First Indent"/>
    <w:basedOn w:val="10"/>
    <w:link w:val="143"/>
    <w:qFormat/>
    <w:uiPriority w:val="0"/>
    <w:pPr>
      <w:ind w:firstLine="420" w:firstLineChars="100"/>
    </w:pPr>
  </w:style>
  <w:style w:type="paragraph" w:styleId="87">
    <w:name w:val="Body Text First Indent 2"/>
    <w:basedOn w:val="35"/>
    <w:link w:val="144"/>
    <w:qFormat/>
    <w:uiPriority w:val="0"/>
    <w:pPr>
      <w:spacing w:beforeLines="0" w:afterLines="0" w:line="240" w:lineRule="auto"/>
      <w:ind w:firstLine="420"/>
    </w:pPr>
    <w:rPr>
      <w:kern w:val="2"/>
      <w:sz w:val="21"/>
    </w:rPr>
  </w:style>
  <w:style w:type="table" w:styleId="89">
    <w:name w:val="Table Grid"/>
    <w:basedOn w:val="8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Elegant"/>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2">
    <w:name w:val="Table List 3"/>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93">
    <w:name w:val="Table List 7"/>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94">
    <w:name w:val="Table Contemporary"/>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95">
    <w:name w:val="Table Professional"/>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97">
    <w:name w:val="Strong"/>
    <w:qFormat/>
    <w:uiPriority w:val="0"/>
    <w:rPr>
      <w:rFonts w:eastAsia="宋体"/>
      <w:b/>
      <w:bCs/>
      <w:kern w:val="2"/>
      <w:sz w:val="24"/>
      <w:lang w:val="en-US" w:eastAsia="zh-CN" w:bidi="ar-SA"/>
    </w:rPr>
  </w:style>
  <w:style w:type="character" w:styleId="98">
    <w:name w:val="endnote reference"/>
    <w:basedOn w:val="96"/>
    <w:unhideWhenUsed/>
    <w:qFormat/>
    <w:uiPriority w:val="99"/>
    <w:rPr>
      <w:vertAlign w:val="superscript"/>
    </w:rPr>
  </w:style>
  <w:style w:type="character" w:styleId="99">
    <w:name w:val="page number"/>
    <w:basedOn w:val="96"/>
    <w:qFormat/>
    <w:uiPriority w:val="0"/>
  </w:style>
  <w:style w:type="character" w:styleId="100">
    <w:name w:val="FollowedHyperlink"/>
    <w:qFormat/>
    <w:uiPriority w:val="99"/>
    <w:rPr>
      <w:rFonts w:eastAsia="宋体"/>
      <w:color w:val="800080"/>
      <w:kern w:val="2"/>
      <w:sz w:val="24"/>
      <w:u w:val="single"/>
      <w:lang w:val="en-US" w:eastAsia="zh-CN" w:bidi="ar-SA"/>
    </w:rPr>
  </w:style>
  <w:style w:type="character" w:styleId="101">
    <w:name w:val="Emphasis"/>
    <w:qFormat/>
    <w:uiPriority w:val="0"/>
    <w:rPr>
      <w:color w:val="CC0000"/>
    </w:rPr>
  </w:style>
  <w:style w:type="character" w:styleId="102">
    <w:name w:val="line number"/>
    <w:qFormat/>
    <w:uiPriority w:val="0"/>
  </w:style>
  <w:style w:type="character" w:styleId="103">
    <w:name w:val="Hyperlink"/>
    <w:qFormat/>
    <w:uiPriority w:val="99"/>
    <w:rPr>
      <w:color w:val="0000FF"/>
      <w:u w:val="single"/>
    </w:rPr>
  </w:style>
  <w:style w:type="character" w:styleId="104">
    <w:name w:val="annotation reference"/>
    <w:qFormat/>
    <w:uiPriority w:val="0"/>
    <w:rPr>
      <w:sz w:val="21"/>
      <w:szCs w:val="21"/>
    </w:rPr>
  </w:style>
  <w:style w:type="character" w:styleId="105">
    <w:name w:val="footnote reference"/>
    <w:qFormat/>
    <w:uiPriority w:val="0"/>
    <w:rPr>
      <w:rFonts w:eastAsia="宋体"/>
      <w:kern w:val="2"/>
      <w:sz w:val="24"/>
      <w:vertAlign w:val="superscript"/>
      <w:lang w:val="en-US" w:eastAsia="zh-CN" w:bidi="ar-SA"/>
    </w:rPr>
  </w:style>
  <w:style w:type="character" w:customStyle="1" w:styleId="106">
    <w:name w:val="标题 1 字符"/>
    <w:basedOn w:val="96"/>
    <w:link w:val="3"/>
    <w:qFormat/>
    <w:uiPriority w:val="0"/>
    <w:rPr>
      <w:rFonts w:ascii="宋体" w:hAnsi="宋体" w:eastAsia="宋体" w:cs="宋体"/>
      <w:kern w:val="44"/>
      <w:sz w:val="32"/>
      <w:szCs w:val="32"/>
    </w:rPr>
  </w:style>
  <w:style w:type="character" w:customStyle="1" w:styleId="107">
    <w:name w:val="标题 2 字符"/>
    <w:basedOn w:val="96"/>
    <w:link w:val="4"/>
    <w:qFormat/>
    <w:uiPriority w:val="0"/>
    <w:rPr>
      <w:rFonts w:ascii="Times New Roman" w:hAnsi="Times New Roman" w:eastAsia="仿宋_GB2312" w:cs="Times New Roman"/>
      <w:b/>
      <w:bCs/>
      <w:kern w:val="0"/>
      <w:sz w:val="30"/>
      <w:szCs w:val="30"/>
    </w:rPr>
  </w:style>
  <w:style w:type="character" w:customStyle="1" w:styleId="108">
    <w:name w:val="标题 3 字符"/>
    <w:basedOn w:val="96"/>
    <w:link w:val="5"/>
    <w:qFormat/>
    <w:uiPriority w:val="0"/>
    <w:rPr>
      <w:rFonts w:ascii="Times New Roman" w:hAnsi="Times New Roman" w:eastAsia="仿宋_GB2312" w:cs="Times New Roman"/>
      <w:b/>
      <w:bCs/>
      <w:kern w:val="0"/>
      <w:sz w:val="30"/>
      <w:szCs w:val="30"/>
      <w:lang w:val="zh-CN"/>
    </w:rPr>
  </w:style>
  <w:style w:type="character" w:customStyle="1" w:styleId="109">
    <w:name w:val="标题 4 字符"/>
    <w:basedOn w:val="96"/>
    <w:link w:val="6"/>
    <w:qFormat/>
    <w:uiPriority w:val="0"/>
    <w:rPr>
      <w:rFonts w:ascii="Arial" w:hAnsi="Arial" w:eastAsia="黑体" w:cs="Times New Roman"/>
      <w:b/>
      <w:bCs/>
      <w:sz w:val="28"/>
      <w:szCs w:val="28"/>
    </w:rPr>
  </w:style>
  <w:style w:type="character" w:customStyle="1" w:styleId="110">
    <w:name w:val="标题 5 字符"/>
    <w:basedOn w:val="96"/>
    <w:link w:val="7"/>
    <w:qFormat/>
    <w:uiPriority w:val="0"/>
    <w:rPr>
      <w:rFonts w:ascii="Times New Roman" w:hAnsi="Times New Roman" w:eastAsia="宋体" w:cs="Times New Roman"/>
      <w:b/>
      <w:bCs/>
      <w:sz w:val="28"/>
      <w:szCs w:val="28"/>
    </w:rPr>
  </w:style>
  <w:style w:type="character" w:customStyle="1" w:styleId="111">
    <w:name w:val="标题 6 字符"/>
    <w:basedOn w:val="96"/>
    <w:link w:val="8"/>
    <w:qFormat/>
    <w:uiPriority w:val="0"/>
    <w:rPr>
      <w:rFonts w:ascii="Arial" w:hAnsi="Arial" w:eastAsia="黑体" w:cs="Times New Roman"/>
      <w:b/>
      <w:bCs/>
      <w:sz w:val="24"/>
      <w:szCs w:val="24"/>
    </w:rPr>
  </w:style>
  <w:style w:type="character" w:customStyle="1" w:styleId="112">
    <w:name w:val="正文文本 字符"/>
    <w:link w:val="10"/>
    <w:qFormat/>
    <w:uiPriority w:val="0"/>
    <w:rPr>
      <w:rFonts w:ascii="Times New Roman" w:hAnsi="Times New Roman" w:eastAsia="仿宋_GB2312"/>
      <w:kern w:val="28"/>
      <w:sz w:val="24"/>
      <w:szCs w:val="24"/>
    </w:rPr>
  </w:style>
  <w:style w:type="character" w:customStyle="1" w:styleId="113">
    <w:name w:val="标题 7 字符"/>
    <w:basedOn w:val="96"/>
    <w:link w:val="9"/>
    <w:qFormat/>
    <w:uiPriority w:val="0"/>
    <w:rPr>
      <w:rFonts w:ascii="Arial Black" w:hAnsi="Arial Black" w:eastAsia="宋体" w:cs="Times New Roman"/>
      <w:spacing w:val="-5"/>
      <w:kern w:val="20"/>
      <w:sz w:val="18"/>
      <w:szCs w:val="20"/>
    </w:rPr>
  </w:style>
  <w:style w:type="character" w:customStyle="1" w:styleId="114">
    <w:name w:val="标题 8 字符"/>
    <w:basedOn w:val="96"/>
    <w:link w:val="11"/>
    <w:qFormat/>
    <w:uiPriority w:val="0"/>
    <w:rPr>
      <w:rFonts w:ascii="Arial Black" w:hAnsi="Arial Black" w:eastAsia="宋体" w:cs="Times New Roman"/>
      <w:spacing w:val="-5"/>
      <w:kern w:val="20"/>
      <w:sz w:val="18"/>
      <w:szCs w:val="20"/>
    </w:rPr>
  </w:style>
  <w:style w:type="character" w:customStyle="1" w:styleId="115">
    <w:name w:val="标题 9 字符"/>
    <w:basedOn w:val="96"/>
    <w:link w:val="12"/>
    <w:qFormat/>
    <w:uiPriority w:val="0"/>
    <w:rPr>
      <w:rFonts w:ascii="Arial Black" w:hAnsi="Arial Black" w:eastAsia="宋体" w:cs="Times New Roman"/>
      <w:spacing w:val="-5"/>
      <w:kern w:val="20"/>
      <w:sz w:val="18"/>
      <w:szCs w:val="20"/>
    </w:rPr>
  </w:style>
  <w:style w:type="character" w:customStyle="1" w:styleId="116">
    <w:name w:val="宏文本 字符"/>
    <w:link w:val="2"/>
    <w:qFormat/>
    <w:uiPriority w:val="0"/>
    <w:rPr>
      <w:rFonts w:ascii="Courier New" w:hAnsi="Courier New"/>
      <w:sz w:val="24"/>
      <w:szCs w:val="24"/>
    </w:rPr>
  </w:style>
  <w:style w:type="character" w:customStyle="1" w:styleId="117">
    <w:name w:val="注释标题 字符"/>
    <w:link w:val="17"/>
    <w:qFormat/>
    <w:uiPriority w:val="0"/>
    <w:rPr>
      <w:rFonts w:ascii="Times New Roman" w:hAnsi="Times New Roman"/>
      <w:szCs w:val="24"/>
    </w:rPr>
  </w:style>
  <w:style w:type="character" w:customStyle="1" w:styleId="118">
    <w:name w:val="电子邮件签名 字符"/>
    <w:link w:val="20"/>
    <w:qFormat/>
    <w:uiPriority w:val="0"/>
    <w:rPr>
      <w:rFonts w:ascii="Times New Roman" w:hAnsi="Times New Roman"/>
      <w:szCs w:val="24"/>
    </w:rPr>
  </w:style>
  <w:style w:type="character" w:customStyle="1" w:styleId="119">
    <w:name w:val="文档结构图 字符"/>
    <w:link w:val="27"/>
    <w:qFormat/>
    <w:uiPriority w:val="0"/>
    <w:rPr>
      <w:rFonts w:ascii="宋体" w:hAnsi="Times New Roman"/>
      <w:sz w:val="18"/>
      <w:szCs w:val="18"/>
    </w:rPr>
  </w:style>
  <w:style w:type="character" w:customStyle="1" w:styleId="120">
    <w:name w:val="批注文字 字符"/>
    <w:basedOn w:val="96"/>
    <w:link w:val="29"/>
    <w:qFormat/>
    <w:uiPriority w:val="0"/>
    <w:rPr>
      <w:rFonts w:ascii="Times New Roman" w:hAnsi="Times New Roman" w:eastAsia="宋体" w:cs="Times New Roman"/>
      <w:szCs w:val="24"/>
    </w:rPr>
  </w:style>
  <w:style w:type="character" w:customStyle="1" w:styleId="121">
    <w:name w:val="称呼 字符"/>
    <w:link w:val="31"/>
    <w:qFormat/>
    <w:uiPriority w:val="0"/>
    <w:rPr>
      <w:rFonts w:ascii="Times New Roman" w:hAnsi="Times New Roman"/>
      <w:szCs w:val="24"/>
    </w:rPr>
  </w:style>
  <w:style w:type="character" w:customStyle="1" w:styleId="122">
    <w:name w:val="正文文本 3 字符"/>
    <w:link w:val="32"/>
    <w:qFormat/>
    <w:uiPriority w:val="0"/>
    <w:rPr>
      <w:rFonts w:ascii="Times New Roman" w:hAnsi="Times New Roman"/>
      <w:sz w:val="16"/>
      <w:szCs w:val="16"/>
    </w:rPr>
  </w:style>
  <w:style w:type="character" w:customStyle="1" w:styleId="123">
    <w:name w:val="结束语 字符"/>
    <w:link w:val="33"/>
    <w:qFormat/>
    <w:uiPriority w:val="0"/>
    <w:rPr>
      <w:rFonts w:ascii="Times New Roman" w:hAnsi="Times New Roman"/>
      <w:szCs w:val="24"/>
    </w:rPr>
  </w:style>
  <w:style w:type="character" w:customStyle="1" w:styleId="124">
    <w:name w:val="正文文本缩进 字符"/>
    <w:link w:val="35"/>
    <w:qFormat/>
    <w:uiPriority w:val="0"/>
    <w:rPr>
      <w:rFonts w:ascii="Times New Roman" w:hAnsi="Times New Roman" w:eastAsia="仿宋_GB2312"/>
      <w:kern w:val="28"/>
      <w:sz w:val="24"/>
      <w:szCs w:val="24"/>
    </w:rPr>
  </w:style>
  <w:style w:type="character" w:customStyle="1" w:styleId="125">
    <w:name w:val="HTML 地址 字符"/>
    <w:link w:val="41"/>
    <w:qFormat/>
    <w:uiPriority w:val="0"/>
    <w:rPr>
      <w:rFonts w:ascii="宋体" w:hAnsi="宋体" w:cs="宋体"/>
      <w:i/>
      <w:iCs/>
      <w:sz w:val="24"/>
      <w:szCs w:val="24"/>
    </w:rPr>
  </w:style>
  <w:style w:type="character" w:customStyle="1" w:styleId="126">
    <w:name w:val="TOC 3 字符"/>
    <w:link w:val="44"/>
    <w:qFormat/>
    <w:locked/>
    <w:uiPriority w:val="39"/>
    <w:rPr>
      <w:rFonts w:eastAsia="宋体" w:cs="Times New Roman"/>
      <w:i/>
      <w:iCs/>
      <w:sz w:val="20"/>
      <w:szCs w:val="20"/>
    </w:rPr>
  </w:style>
  <w:style w:type="character" w:customStyle="1" w:styleId="127">
    <w:name w:val="纯文本 字符"/>
    <w:link w:val="45"/>
    <w:qFormat/>
    <w:uiPriority w:val="0"/>
    <w:rPr>
      <w:rFonts w:ascii="Times New Roman" w:hAnsi="Times New Roman" w:eastAsia="仿宋_GB2312"/>
      <w:kern w:val="28"/>
      <w:sz w:val="24"/>
      <w:szCs w:val="24"/>
    </w:rPr>
  </w:style>
  <w:style w:type="character" w:customStyle="1" w:styleId="128">
    <w:name w:val="日期 字符"/>
    <w:basedOn w:val="96"/>
    <w:link w:val="50"/>
    <w:qFormat/>
    <w:uiPriority w:val="0"/>
    <w:rPr>
      <w:rFonts w:ascii="Times New Roman" w:hAnsi="Times New Roman" w:eastAsia="宋体" w:cs="Times New Roman"/>
      <w:szCs w:val="24"/>
    </w:rPr>
  </w:style>
  <w:style w:type="character" w:customStyle="1" w:styleId="129">
    <w:name w:val="正文文本缩进 2 字符"/>
    <w:link w:val="51"/>
    <w:qFormat/>
    <w:uiPriority w:val="0"/>
    <w:rPr>
      <w:rFonts w:ascii="Times New Roman" w:hAnsi="Times New Roman" w:eastAsia="仿宋_GB2312"/>
      <w:kern w:val="28"/>
      <w:sz w:val="24"/>
      <w:szCs w:val="24"/>
    </w:rPr>
  </w:style>
  <w:style w:type="character" w:customStyle="1" w:styleId="130">
    <w:name w:val="尾注文本 字符"/>
    <w:link w:val="52"/>
    <w:qFormat/>
    <w:uiPriority w:val="0"/>
    <w:rPr>
      <w:rFonts w:ascii="Times New Roman" w:hAnsi="Times New Roman"/>
      <w:szCs w:val="24"/>
    </w:rPr>
  </w:style>
  <w:style w:type="character" w:customStyle="1" w:styleId="131">
    <w:name w:val="批注框文本 字符"/>
    <w:basedOn w:val="96"/>
    <w:link w:val="54"/>
    <w:qFormat/>
    <w:uiPriority w:val="0"/>
    <w:rPr>
      <w:rFonts w:ascii="Times New Roman" w:hAnsi="Times New Roman" w:eastAsia="宋体" w:cs="Times New Roman"/>
      <w:sz w:val="18"/>
      <w:szCs w:val="18"/>
    </w:rPr>
  </w:style>
  <w:style w:type="character" w:customStyle="1" w:styleId="132">
    <w:name w:val="页脚 字符"/>
    <w:link w:val="55"/>
    <w:qFormat/>
    <w:uiPriority w:val="99"/>
    <w:rPr>
      <w:rFonts w:ascii="Times New Roman" w:hAnsi="Times New Roman"/>
      <w:sz w:val="18"/>
      <w:szCs w:val="18"/>
    </w:rPr>
  </w:style>
  <w:style w:type="character" w:customStyle="1" w:styleId="133">
    <w:name w:val="页眉 字符"/>
    <w:link w:val="57"/>
    <w:qFormat/>
    <w:uiPriority w:val="0"/>
    <w:rPr>
      <w:rFonts w:ascii="Times New Roman" w:hAnsi="Times New Roman" w:eastAsia="仿宋_GB2312"/>
      <w:kern w:val="28"/>
      <w:sz w:val="18"/>
      <w:szCs w:val="18"/>
    </w:rPr>
  </w:style>
  <w:style w:type="character" w:customStyle="1" w:styleId="134">
    <w:name w:val="签名 字符"/>
    <w:link w:val="58"/>
    <w:qFormat/>
    <w:uiPriority w:val="0"/>
    <w:rPr>
      <w:rFonts w:ascii="Times New Roman" w:hAnsi="Times New Roman"/>
      <w:szCs w:val="24"/>
    </w:rPr>
  </w:style>
  <w:style w:type="character" w:customStyle="1" w:styleId="135">
    <w:name w:val="副标题 字符"/>
    <w:link w:val="64"/>
    <w:qFormat/>
    <w:uiPriority w:val="0"/>
    <w:rPr>
      <w:rFonts w:ascii="Arial" w:hAnsi="Arial" w:cs="Arial"/>
      <w:b/>
      <w:bCs/>
      <w:kern w:val="28"/>
      <w:sz w:val="32"/>
      <w:szCs w:val="32"/>
    </w:rPr>
  </w:style>
  <w:style w:type="character" w:customStyle="1" w:styleId="136">
    <w:name w:val="脚注文本 字符"/>
    <w:link w:val="67"/>
    <w:qFormat/>
    <w:uiPriority w:val="0"/>
    <w:rPr>
      <w:rFonts w:ascii="Times New Roman" w:hAnsi="Times New Roman"/>
      <w:sz w:val="18"/>
      <w:szCs w:val="18"/>
    </w:rPr>
  </w:style>
  <w:style w:type="character" w:customStyle="1" w:styleId="137">
    <w:name w:val="正文文本缩进 3 字符"/>
    <w:link w:val="70"/>
    <w:qFormat/>
    <w:uiPriority w:val="0"/>
    <w:rPr>
      <w:rFonts w:ascii="Times New Roman" w:hAnsi="Times New Roman" w:eastAsia="仿宋_GB2312"/>
      <w:kern w:val="28"/>
      <w:sz w:val="16"/>
      <w:szCs w:val="16"/>
    </w:rPr>
  </w:style>
  <w:style w:type="character" w:customStyle="1" w:styleId="138">
    <w:name w:val="正文文本 2 字符"/>
    <w:link w:val="76"/>
    <w:qFormat/>
    <w:uiPriority w:val="0"/>
    <w:rPr>
      <w:rFonts w:ascii="Times New Roman" w:hAnsi="Times New Roman"/>
      <w:sz w:val="24"/>
      <w:szCs w:val="24"/>
    </w:rPr>
  </w:style>
  <w:style w:type="character" w:customStyle="1" w:styleId="139">
    <w:name w:val="信息标题 字符"/>
    <w:link w:val="79"/>
    <w:qFormat/>
    <w:uiPriority w:val="0"/>
    <w:rPr>
      <w:rFonts w:ascii="Arial" w:hAnsi="Arial" w:cs="Arial"/>
      <w:sz w:val="24"/>
      <w:szCs w:val="24"/>
      <w:shd w:val="pct20" w:color="auto" w:fill="auto"/>
    </w:rPr>
  </w:style>
  <w:style w:type="character" w:customStyle="1" w:styleId="140">
    <w:name w:val="HTML 预设格式 字符"/>
    <w:link w:val="80"/>
    <w:qFormat/>
    <w:uiPriority w:val="0"/>
    <w:rPr>
      <w:rFonts w:ascii="Courier New" w:hAnsi="Courier New" w:cs="Courier New"/>
    </w:rPr>
  </w:style>
  <w:style w:type="character" w:customStyle="1" w:styleId="141">
    <w:name w:val="标题 字符"/>
    <w:link w:val="84"/>
    <w:qFormat/>
    <w:uiPriority w:val="0"/>
    <w:rPr>
      <w:rFonts w:ascii="Arial" w:hAnsi="Arial" w:cs="Arial"/>
      <w:b/>
      <w:bCs/>
      <w:sz w:val="32"/>
      <w:szCs w:val="32"/>
    </w:rPr>
  </w:style>
  <w:style w:type="character" w:customStyle="1" w:styleId="142">
    <w:name w:val="批注主题 字符"/>
    <w:link w:val="85"/>
    <w:qFormat/>
    <w:uiPriority w:val="0"/>
    <w:rPr>
      <w:rFonts w:ascii="Times New Roman" w:hAnsi="Times New Roman"/>
      <w:b/>
      <w:bCs/>
      <w:szCs w:val="24"/>
    </w:rPr>
  </w:style>
  <w:style w:type="character" w:customStyle="1" w:styleId="143">
    <w:name w:val="正文文本首行缩进 字符"/>
    <w:basedOn w:val="112"/>
    <w:link w:val="86"/>
    <w:qFormat/>
    <w:uiPriority w:val="99"/>
    <w:rPr>
      <w:rFonts w:ascii="Times New Roman" w:hAnsi="Times New Roman" w:eastAsia="仿宋_GB2312"/>
      <w:kern w:val="28"/>
      <w:sz w:val="24"/>
      <w:szCs w:val="24"/>
    </w:rPr>
  </w:style>
  <w:style w:type="character" w:customStyle="1" w:styleId="144">
    <w:name w:val="正文文本首行缩进 2 字符"/>
    <w:link w:val="87"/>
    <w:qFormat/>
    <w:uiPriority w:val="99"/>
    <w:rPr>
      <w:rFonts w:ascii="Times New Roman" w:hAnsi="Times New Roman" w:eastAsia="仿宋_GB2312"/>
      <w:szCs w:val="24"/>
    </w:rPr>
  </w:style>
  <w:style w:type="character" w:customStyle="1" w:styleId="145">
    <w:name w:val="正文样式1 Char"/>
    <w:link w:val="146"/>
    <w:qFormat/>
    <w:uiPriority w:val="0"/>
    <w:rPr>
      <w:rFonts w:ascii="宋体" w:hAnsi="宋体"/>
      <w:szCs w:val="21"/>
    </w:rPr>
  </w:style>
  <w:style w:type="paragraph" w:customStyle="1" w:styleId="146">
    <w:name w:val="正文样式1"/>
    <w:basedOn w:val="1"/>
    <w:next w:val="1"/>
    <w:link w:val="145"/>
    <w:qFormat/>
    <w:uiPriority w:val="0"/>
    <w:pPr>
      <w:spacing w:line="312" w:lineRule="auto"/>
      <w:ind w:firstLine="420" w:firstLineChars="200"/>
    </w:pPr>
    <w:rPr>
      <w:rFonts w:ascii="宋体" w:hAnsi="宋体" w:eastAsiaTheme="minorEastAsia" w:cstheme="minorBidi"/>
      <w:szCs w:val="21"/>
    </w:rPr>
  </w:style>
  <w:style w:type="character" w:customStyle="1" w:styleId="147">
    <w:name w:val="font1"/>
    <w:qFormat/>
    <w:uiPriority w:val="0"/>
    <w:rPr>
      <w:sz w:val="20"/>
      <w:szCs w:val="20"/>
    </w:rPr>
  </w:style>
  <w:style w:type="character" w:customStyle="1" w:styleId="148">
    <w:name w:val="正文+宋体 Char"/>
    <w:link w:val="149"/>
    <w:qFormat/>
    <w:uiPriority w:val="0"/>
    <w:rPr>
      <w:rFonts w:ascii="楷体_GB2312" w:hAnsi="宋体" w:eastAsia="楷体_GB2312"/>
      <w:b/>
      <w:bCs/>
      <w:sz w:val="28"/>
    </w:rPr>
  </w:style>
  <w:style w:type="paragraph" w:customStyle="1" w:styleId="149">
    <w:name w:val="正文+宋体"/>
    <w:basedOn w:val="10"/>
    <w:link w:val="148"/>
    <w:qFormat/>
    <w:uiPriority w:val="0"/>
    <w:pPr>
      <w:spacing w:beforeLines="0" w:afterLines="0" w:line="240" w:lineRule="auto"/>
      <w:ind w:firstLine="510" w:firstLineChars="0"/>
    </w:pPr>
    <w:rPr>
      <w:rFonts w:ascii="楷体_GB2312" w:hAnsi="宋体" w:eastAsia="楷体_GB2312"/>
      <w:b/>
      <w:bCs/>
      <w:kern w:val="2"/>
      <w:sz w:val="28"/>
      <w:szCs w:val="22"/>
    </w:rPr>
  </w:style>
  <w:style w:type="character" w:customStyle="1" w:styleId="150">
    <w:name w:val="样式 黑体 黑色 Char Char"/>
    <w:qFormat/>
    <w:uiPriority w:val="0"/>
    <w:rPr>
      <w:rFonts w:ascii="黑体" w:eastAsia="黑体"/>
      <w:bCs/>
      <w:color w:val="000000"/>
      <w:szCs w:val="24"/>
    </w:rPr>
  </w:style>
  <w:style w:type="character" w:customStyle="1" w:styleId="151">
    <w:name w:val="Char Char3"/>
    <w:qFormat/>
    <w:uiPriority w:val="0"/>
    <w:rPr>
      <w:rFonts w:ascii="宋体" w:hAnsi="宋体" w:eastAsia="仿宋_GB2312"/>
      <w:b/>
      <w:kern w:val="24"/>
      <w:sz w:val="28"/>
      <w:lang w:val="en-US" w:eastAsia="zh-CN" w:bidi="ar-SA"/>
    </w:rPr>
  </w:style>
  <w:style w:type="character" w:customStyle="1" w:styleId="152">
    <w:name w:val="标题 3 Char1"/>
    <w:qFormat/>
    <w:uiPriority w:val="0"/>
    <w:rPr>
      <w:rFonts w:ascii="Times New Roman" w:hAnsi="Times New Roman" w:eastAsia="仿宋_GB2312"/>
      <w:b/>
      <w:bCs/>
      <w:sz w:val="28"/>
      <w:szCs w:val="28"/>
    </w:rPr>
  </w:style>
  <w:style w:type="character" w:customStyle="1" w:styleId="153">
    <w:name w:val="Char Char1"/>
    <w:qFormat/>
    <w:uiPriority w:val="0"/>
    <w:rPr>
      <w:rFonts w:ascii="Arial" w:hAnsi="Arial" w:eastAsia="黑体"/>
      <w:b/>
      <w:bCs/>
      <w:kern w:val="28"/>
      <w:sz w:val="28"/>
      <w:szCs w:val="28"/>
      <w:lang w:val="en-US" w:eastAsia="zh-CN" w:bidi="ar-SA"/>
    </w:rPr>
  </w:style>
  <w:style w:type="character" w:customStyle="1" w:styleId="154">
    <w:name w:val="脚注文本 Char1"/>
    <w:qFormat/>
    <w:uiPriority w:val="99"/>
    <w:rPr>
      <w:rFonts w:ascii="Times New Roman" w:hAnsi="Times New Roman" w:eastAsia="宋体" w:cs="Times New Roman"/>
      <w:sz w:val="18"/>
      <w:szCs w:val="18"/>
    </w:rPr>
  </w:style>
  <w:style w:type="character" w:customStyle="1" w:styleId="155">
    <w:name w:val="正文文本 Char1"/>
    <w:qFormat/>
    <w:uiPriority w:val="0"/>
    <w:rPr>
      <w:rFonts w:ascii="Times New Roman" w:hAnsi="Times New Roman" w:eastAsia="宋体" w:cs="Times New Roman"/>
      <w:szCs w:val="24"/>
    </w:rPr>
  </w:style>
  <w:style w:type="character" w:customStyle="1" w:styleId="156">
    <w:name w:val="正文样式1 Char Char"/>
    <w:qFormat/>
    <w:uiPriority w:val="0"/>
    <w:rPr>
      <w:rFonts w:ascii="宋体" w:hAnsi="宋体"/>
      <w:szCs w:val="21"/>
    </w:rPr>
  </w:style>
  <w:style w:type="character" w:customStyle="1" w:styleId="157">
    <w:name w:val="5正文 Char"/>
    <w:qFormat/>
    <w:uiPriority w:val="0"/>
    <w:rPr>
      <w:rFonts w:eastAsia="宋体"/>
      <w:sz w:val="21"/>
      <w:szCs w:val="24"/>
      <w:lang w:val="en-US" w:eastAsia="zh-CN" w:bidi="ar-SA"/>
    </w:rPr>
  </w:style>
  <w:style w:type="character" w:customStyle="1" w:styleId="158">
    <w:name w:val="hj1"/>
    <w:qFormat/>
    <w:uiPriority w:val="0"/>
    <w:rPr>
      <w:sz w:val="20"/>
      <w:szCs w:val="20"/>
    </w:rPr>
  </w:style>
  <w:style w:type="character" w:customStyle="1" w:styleId="159">
    <w:name w:val="正文样式2 Char"/>
    <w:link w:val="160"/>
    <w:qFormat/>
    <w:uiPriority w:val="0"/>
    <w:rPr>
      <w:rFonts w:ascii="Times New Roman" w:hAnsi="Times New Roman"/>
      <w:b/>
      <w:szCs w:val="24"/>
    </w:rPr>
  </w:style>
  <w:style w:type="paragraph" w:customStyle="1" w:styleId="160">
    <w:name w:val="正文样式2"/>
    <w:basedOn w:val="1"/>
    <w:next w:val="1"/>
    <w:link w:val="159"/>
    <w:qFormat/>
    <w:uiPriority w:val="0"/>
    <w:pPr>
      <w:spacing w:line="360" w:lineRule="auto"/>
      <w:ind w:firstLine="413" w:firstLineChars="196"/>
      <w:jc w:val="left"/>
    </w:pPr>
    <w:rPr>
      <w:rFonts w:eastAsiaTheme="minorEastAsia" w:cstheme="minorBidi"/>
      <w:b/>
    </w:rPr>
  </w:style>
  <w:style w:type="character" w:customStyle="1" w:styleId="161">
    <w:name w:val="标题 4.1.1 Char"/>
    <w:qFormat/>
    <w:uiPriority w:val="0"/>
    <w:rPr>
      <w:rFonts w:ascii="仿宋_GB2312" w:eastAsia="仿宋_GB2312"/>
      <w:b/>
      <w:bCs/>
      <w:kern w:val="44"/>
      <w:sz w:val="28"/>
      <w:szCs w:val="28"/>
      <w:lang w:val="en-US" w:eastAsia="zh-CN" w:bidi="ar-SA"/>
    </w:rPr>
  </w:style>
  <w:style w:type="character" w:customStyle="1" w:styleId="162">
    <w:name w:val="强制内容 Char"/>
    <w:link w:val="163"/>
    <w:qFormat/>
    <w:uiPriority w:val="0"/>
    <w:rPr>
      <w:rFonts w:ascii="宋体" w:hAnsi="宋体" w:eastAsia="黑体"/>
      <w:sz w:val="24"/>
    </w:rPr>
  </w:style>
  <w:style w:type="paragraph" w:customStyle="1" w:styleId="163">
    <w:name w:val="强制内容"/>
    <w:basedOn w:val="1"/>
    <w:link w:val="162"/>
    <w:qFormat/>
    <w:uiPriority w:val="0"/>
    <w:pPr>
      <w:spacing w:line="360" w:lineRule="exact"/>
      <w:ind w:left="1050" w:leftChars="500"/>
    </w:pPr>
    <w:rPr>
      <w:rFonts w:ascii="宋体" w:hAnsi="宋体" w:eastAsia="黑体" w:cstheme="minorBidi"/>
      <w:sz w:val="24"/>
      <w:szCs w:val="22"/>
    </w:rPr>
  </w:style>
  <w:style w:type="character" w:customStyle="1" w:styleId="164">
    <w:name w:val="标题 1 Char Char"/>
    <w:qFormat/>
    <w:uiPriority w:val="0"/>
    <w:rPr>
      <w:rFonts w:eastAsia="宋体"/>
      <w:b/>
      <w:bCs/>
      <w:kern w:val="44"/>
      <w:sz w:val="44"/>
      <w:szCs w:val="44"/>
      <w:lang w:val="en-US" w:eastAsia="zh-CN" w:bidi="ar-SA"/>
    </w:rPr>
  </w:style>
  <w:style w:type="character" w:customStyle="1" w:styleId="165">
    <w:name w:val="批注文字 Char"/>
    <w:qFormat/>
    <w:uiPriority w:val="0"/>
    <w:rPr>
      <w:rFonts w:ascii="Times New Roman" w:hAnsi="Times New Roman"/>
      <w:kern w:val="2"/>
      <w:sz w:val="21"/>
      <w:szCs w:val="24"/>
    </w:rPr>
  </w:style>
  <w:style w:type="character" w:customStyle="1" w:styleId="166">
    <w:name w:val="正文普宁 Char"/>
    <w:link w:val="167"/>
    <w:qFormat/>
    <w:uiPriority w:val="0"/>
    <w:rPr>
      <w:rFonts w:ascii="Times New Roman" w:hAnsi="Times New Roman"/>
      <w:szCs w:val="24"/>
    </w:rPr>
  </w:style>
  <w:style w:type="paragraph" w:customStyle="1" w:styleId="167">
    <w:name w:val="正文普宁"/>
    <w:basedOn w:val="1"/>
    <w:link w:val="166"/>
    <w:qFormat/>
    <w:uiPriority w:val="0"/>
    <w:pPr>
      <w:spacing w:afterLines="50" w:line="240" w:lineRule="auto"/>
      <w:ind w:firstLine="200" w:firstLineChars="200"/>
    </w:pPr>
    <w:rPr>
      <w:rFonts w:eastAsiaTheme="minorEastAsia" w:cstheme="minorBidi"/>
    </w:rPr>
  </w:style>
  <w:style w:type="character" w:customStyle="1" w:styleId="168">
    <w:name w:val="样式 黑体 黑色 Char"/>
    <w:link w:val="169"/>
    <w:qFormat/>
    <w:uiPriority w:val="0"/>
    <w:rPr>
      <w:rFonts w:ascii="黑体" w:hAnsi="Times New Roman" w:eastAsia="黑体"/>
      <w:bCs/>
      <w:color w:val="000000"/>
      <w:szCs w:val="24"/>
    </w:rPr>
  </w:style>
  <w:style w:type="paragraph" w:customStyle="1" w:styleId="169">
    <w:name w:val="样式 黑体 黑色"/>
    <w:basedOn w:val="1"/>
    <w:next w:val="1"/>
    <w:link w:val="168"/>
    <w:qFormat/>
    <w:uiPriority w:val="0"/>
    <w:pPr>
      <w:spacing w:line="240" w:lineRule="auto"/>
      <w:ind w:firstLine="105" w:firstLineChars="50"/>
    </w:pPr>
    <w:rPr>
      <w:rFonts w:ascii="黑体" w:eastAsia="黑体" w:cstheme="minorBidi"/>
      <w:bCs/>
      <w:color w:val="000000"/>
    </w:rPr>
  </w:style>
  <w:style w:type="character" w:customStyle="1" w:styleId="170">
    <w:name w:val="gailan-zhengwen1"/>
    <w:qFormat/>
    <w:uiPriority w:val="0"/>
    <w:rPr>
      <w:rFonts w:hint="default" w:ascii="ˎ̥" w:hAnsi="ˎ̥"/>
      <w:color w:val="012305"/>
      <w:sz w:val="18"/>
      <w:szCs w:val="18"/>
      <w:u w:val="none"/>
    </w:rPr>
  </w:style>
  <w:style w:type="character" w:customStyle="1" w:styleId="171">
    <w:name w:val="title_black_141"/>
    <w:qFormat/>
    <w:uiPriority w:val="0"/>
    <w:rPr>
      <w:color w:val="000000"/>
      <w:sz w:val="21"/>
      <w:szCs w:val="21"/>
      <w:u w:val="none"/>
    </w:rPr>
  </w:style>
  <w:style w:type="character" w:customStyle="1" w:styleId="172">
    <w:name w:val="5h"/>
    <w:qFormat/>
    <w:uiPriority w:val="0"/>
    <w:rPr>
      <w:rFonts w:eastAsia="楷体"/>
      <w:spacing w:val="0"/>
      <w:kern w:val="2"/>
      <w:position w:val="0"/>
      <w:sz w:val="21"/>
      <w:lang w:val="en-US" w:eastAsia="zh-CN" w:bidi="ar-SA"/>
    </w:rPr>
  </w:style>
  <w:style w:type="character" w:customStyle="1" w:styleId="173">
    <w:name w:val="文本正文 Char"/>
    <w:link w:val="174"/>
    <w:qFormat/>
    <w:uiPriority w:val="0"/>
    <w:rPr>
      <w:sz w:val="24"/>
    </w:rPr>
  </w:style>
  <w:style w:type="paragraph" w:customStyle="1" w:styleId="174">
    <w:name w:val="文本正文"/>
    <w:basedOn w:val="1"/>
    <w:link w:val="173"/>
    <w:qFormat/>
    <w:uiPriority w:val="0"/>
    <w:pPr>
      <w:spacing w:line="360" w:lineRule="exact"/>
      <w:ind w:left="1050" w:leftChars="500"/>
    </w:pPr>
    <w:rPr>
      <w:rFonts w:asciiTheme="minorHAnsi" w:hAnsiTheme="minorHAnsi" w:eastAsiaTheme="minorEastAsia" w:cstheme="minorBidi"/>
      <w:sz w:val="24"/>
      <w:szCs w:val="22"/>
    </w:rPr>
  </w:style>
  <w:style w:type="character" w:customStyle="1" w:styleId="175">
    <w:name w:val="样式 标题 5 + 段前: 0.2 行 Char Char"/>
    <w:qFormat/>
    <w:uiPriority w:val="0"/>
    <w:rPr>
      <w:rFonts w:ascii="宋体" w:hAnsi="宋体" w:eastAsia="宋体"/>
      <w:b/>
      <w:kern w:val="24"/>
      <w:sz w:val="28"/>
    </w:rPr>
  </w:style>
  <w:style w:type="character" w:customStyle="1" w:styleId="176">
    <w:name w:val="pp-headline-item pp-headline-address"/>
    <w:qFormat/>
    <w:uiPriority w:val="0"/>
  </w:style>
  <w:style w:type="character" w:customStyle="1" w:styleId="177">
    <w:name w:val="Char Char33"/>
    <w:qFormat/>
    <w:uiPriority w:val="0"/>
    <w:rPr>
      <w:rFonts w:eastAsia="宋体"/>
      <w:b/>
      <w:bCs/>
      <w:kern w:val="2"/>
      <w:sz w:val="28"/>
      <w:szCs w:val="28"/>
      <w:lang w:val="en-US" w:eastAsia="zh-CN" w:bidi="ar-SA"/>
    </w:rPr>
  </w:style>
  <w:style w:type="character" w:customStyle="1" w:styleId="178">
    <w:name w:val="正文普宁 Char Char"/>
    <w:qFormat/>
    <w:uiPriority w:val="0"/>
    <w:rPr>
      <w:szCs w:val="24"/>
    </w:rPr>
  </w:style>
  <w:style w:type="character" w:customStyle="1" w:styleId="179">
    <w:name w:val="l2 Char"/>
    <w:qFormat/>
    <w:uiPriority w:val="0"/>
    <w:rPr>
      <w:rFonts w:ascii="仿宋_GB2312" w:hAnsi="宋体" w:eastAsia="仿宋_GB2312"/>
      <w:b/>
      <w:bCs/>
      <w:kern w:val="44"/>
      <w:sz w:val="28"/>
      <w:szCs w:val="30"/>
      <w:lang w:val="en-US" w:eastAsia="zh-CN" w:bidi="ar-SA"/>
    </w:rPr>
  </w:style>
  <w:style w:type="character" w:customStyle="1" w:styleId="180">
    <w:name w:val="标题 1 Char1"/>
    <w:qFormat/>
    <w:uiPriority w:val="0"/>
    <w:rPr>
      <w:rFonts w:ascii="仿宋_GB2312" w:hAnsi="华文宋体" w:eastAsia="仿宋_GB2312"/>
      <w:b/>
      <w:bCs/>
      <w:kern w:val="48"/>
      <w:sz w:val="30"/>
      <w:szCs w:val="30"/>
    </w:rPr>
  </w:style>
  <w:style w:type="character" w:customStyle="1" w:styleId="181">
    <w:name w:val="contenttext1"/>
    <w:qFormat/>
    <w:uiPriority w:val="0"/>
    <w:rPr>
      <w:rFonts w:eastAsia="宋体"/>
      <w:kern w:val="2"/>
      <w:sz w:val="24"/>
      <w:lang w:val="en-US" w:eastAsia="zh-CN" w:bidi="ar-SA"/>
    </w:rPr>
  </w:style>
  <w:style w:type="character" w:customStyle="1" w:styleId="182">
    <w:name w:val="普通文字 Char"/>
    <w:qFormat/>
    <w:uiPriority w:val="0"/>
    <w:rPr>
      <w:rFonts w:ascii="宋体" w:hAnsi="Courier New" w:eastAsia="宋体"/>
      <w:kern w:val="2"/>
      <w:sz w:val="28"/>
      <w:lang w:val="en-US" w:eastAsia="zh-CN" w:bidi="ar-SA"/>
    </w:rPr>
  </w:style>
  <w:style w:type="character" w:customStyle="1" w:styleId="183">
    <w:name w:val="正文样式2 Char Char"/>
    <w:qFormat/>
    <w:uiPriority w:val="0"/>
    <w:rPr>
      <w:b/>
      <w:szCs w:val="24"/>
    </w:rPr>
  </w:style>
  <w:style w:type="character" w:customStyle="1" w:styleId="184">
    <w:name w:val="font31"/>
    <w:qFormat/>
    <w:uiPriority w:val="0"/>
    <w:rPr>
      <w:rFonts w:hint="default" w:ascii="ˎ̥" w:hAnsi="ˎ̥"/>
      <w:color w:val="1C3B7B"/>
      <w:sz w:val="21"/>
      <w:szCs w:val="21"/>
    </w:rPr>
  </w:style>
  <w:style w:type="character" w:customStyle="1" w:styleId="185">
    <w:name w:val="Char Char Char2"/>
    <w:qFormat/>
    <w:uiPriority w:val="0"/>
    <w:rPr>
      <w:rFonts w:ascii="仿宋_GB2312" w:eastAsia="仿宋_GB2312"/>
      <w:b/>
      <w:bCs/>
      <w:kern w:val="44"/>
      <w:sz w:val="24"/>
      <w:szCs w:val="28"/>
      <w:lang w:val="en-US" w:eastAsia="zh-CN" w:bidi="ar-SA"/>
    </w:rPr>
  </w:style>
  <w:style w:type="character" w:customStyle="1" w:styleId="186">
    <w:name w:val="样式 标题 5 + 段前: 0.2 行 Char"/>
    <w:link w:val="187"/>
    <w:qFormat/>
    <w:uiPriority w:val="0"/>
    <w:rPr>
      <w:rFonts w:ascii="仿宋_GB2312" w:hAnsi="Times New Roman" w:eastAsia="仿宋_GB2312"/>
      <w:b/>
      <w:bCs/>
      <w:kern w:val="28"/>
      <w:sz w:val="24"/>
      <w:szCs w:val="24"/>
    </w:rPr>
  </w:style>
  <w:style w:type="paragraph" w:customStyle="1" w:styleId="187">
    <w:name w:val="样式 标题 5 + 段前: 0.2 行"/>
    <w:basedOn w:val="7"/>
    <w:link w:val="186"/>
    <w:qFormat/>
    <w:uiPriority w:val="0"/>
    <w:pPr>
      <w:suppressLineNumbers/>
      <w:autoSpaceDE w:val="0"/>
      <w:autoSpaceDN w:val="0"/>
      <w:snapToGrid w:val="0"/>
      <w:spacing w:beforeLines="50" w:after="0" w:line="300" w:lineRule="auto"/>
      <w:jc w:val="left"/>
      <w:textAlignment w:val="baseline"/>
    </w:pPr>
    <w:rPr>
      <w:rFonts w:ascii="仿宋_GB2312" w:eastAsia="仿宋_GB2312" w:cstheme="minorBidi"/>
      <w:kern w:val="28"/>
      <w:sz w:val="24"/>
      <w:szCs w:val="24"/>
    </w:rPr>
  </w:style>
  <w:style w:type="character" w:customStyle="1" w:styleId="188">
    <w:name w:val="Char Char2"/>
    <w:qFormat/>
    <w:uiPriority w:val="0"/>
    <w:rPr>
      <w:rFonts w:ascii="黑体" w:eastAsia="黑体"/>
      <w:b/>
      <w:bCs/>
      <w:kern w:val="44"/>
      <w:sz w:val="28"/>
      <w:szCs w:val="28"/>
      <w:lang w:val="en-US" w:eastAsia="zh-CN" w:bidi="ar-SA"/>
    </w:rPr>
  </w:style>
  <w:style w:type="character" w:customStyle="1" w:styleId="189">
    <w:name w:val="正文首行缩进 Char1"/>
    <w:qFormat/>
    <w:uiPriority w:val="99"/>
    <w:rPr>
      <w:rFonts w:ascii="Times New Roman" w:hAnsi="Times New Roman" w:eastAsia="宋体" w:cs="Times New Roman"/>
      <w:szCs w:val="24"/>
    </w:rPr>
  </w:style>
  <w:style w:type="character" w:customStyle="1" w:styleId="190">
    <w:name w:val="批注主题 Char1"/>
    <w:basedOn w:val="120"/>
    <w:qFormat/>
    <w:uiPriority w:val="0"/>
    <w:rPr>
      <w:rFonts w:ascii="Times New Roman" w:hAnsi="Times New Roman" w:eastAsia="宋体" w:cs="Times New Roman"/>
      <w:b/>
      <w:bCs/>
      <w:szCs w:val="24"/>
    </w:rPr>
  </w:style>
  <w:style w:type="paragraph" w:customStyle="1" w:styleId="191">
    <w:name w:val="Char2 Char Char Char Char Char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92">
    <w:name w:val="铝土矿正文"/>
    <w:basedOn w:val="1"/>
    <w:qFormat/>
    <w:uiPriority w:val="0"/>
    <w:pPr>
      <w:spacing w:line="370" w:lineRule="exact"/>
      <w:ind w:firstLine="200" w:firstLineChars="200"/>
    </w:pPr>
    <w:rPr>
      <w:sz w:val="24"/>
    </w:rPr>
  </w:style>
  <w:style w:type="paragraph" w:customStyle="1" w:styleId="193">
    <w:name w:val="正文缩进2字符"/>
    <w:basedOn w:val="1"/>
    <w:qFormat/>
    <w:uiPriority w:val="0"/>
    <w:pPr>
      <w:spacing w:line="460" w:lineRule="exact"/>
      <w:jc w:val="center"/>
    </w:pPr>
    <w:rPr>
      <w:rFonts w:eastAsia="仿宋_GB2312"/>
      <w:bCs/>
      <w:kern w:val="28"/>
      <w:szCs w:val="21"/>
    </w:rPr>
  </w:style>
  <w:style w:type="character" w:customStyle="1" w:styleId="194">
    <w:name w:val="称呼 Char1"/>
    <w:basedOn w:val="96"/>
    <w:qFormat/>
    <w:uiPriority w:val="99"/>
    <w:rPr>
      <w:rFonts w:ascii="Times New Roman" w:hAnsi="Times New Roman" w:eastAsia="宋体" w:cs="Times New Roman"/>
      <w:szCs w:val="24"/>
    </w:rPr>
  </w:style>
  <w:style w:type="character" w:customStyle="1" w:styleId="195">
    <w:name w:val="文档结构图 Char1"/>
    <w:basedOn w:val="96"/>
    <w:qFormat/>
    <w:uiPriority w:val="99"/>
    <w:rPr>
      <w:rFonts w:ascii="宋体" w:hAnsi="Times New Roman" w:eastAsia="宋体" w:cs="Times New Roman"/>
      <w:sz w:val="18"/>
      <w:szCs w:val="18"/>
    </w:rPr>
  </w:style>
  <w:style w:type="character" w:customStyle="1" w:styleId="196">
    <w:name w:val="页眉 Char1"/>
    <w:basedOn w:val="96"/>
    <w:qFormat/>
    <w:uiPriority w:val="99"/>
    <w:rPr>
      <w:rFonts w:ascii="Times New Roman" w:hAnsi="Times New Roman" w:eastAsia="宋体" w:cs="Times New Roman"/>
      <w:sz w:val="18"/>
      <w:szCs w:val="18"/>
    </w:rPr>
  </w:style>
  <w:style w:type="paragraph" w:customStyle="1" w:styleId="197">
    <w:name w:val="样式4"/>
    <w:basedOn w:val="1"/>
    <w:qFormat/>
    <w:uiPriority w:val="0"/>
    <w:pPr>
      <w:tabs>
        <w:tab w:val="left" w:pos="1320"/>
      </w:tabs>
      <w:spacing w:beforeLines="30" w:afterLines="30" w:line="300" w:lineRule="auto"/>
      <w:ind w:left="1320" w:hanging="420"/>
    </w:pPr>
    <w:rPr>
      <w:rFonts w:eastAsia="仿宋_GB2312"/>
      <w:kern w:val="28"/>
      <w:sz w:val="24"/>
    </w:rPr>
  </w:style>
  <w:style w:type="paragraph" w:customStyle="1" w:styleId="19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199">
    <w:name w:val="Char Char Char Char Char Char Char Char Char Char Char Char Char Char Char Char Char Char Char Char Char Char Char Char Char Char Char Char Char Char"/>
    <w:basedOn w:val="1"/>
    <w:qFormat/>
    <w:uiPriority w:val="0"/>
    <w:pPr>
      <w:spacing w:line="240" w:lineRule="auto"/>
    </w:pPr>
    <w:rPr>
      <w:szCs w:val="20"/>
    </w:rPr>
  </w:style>
  <w:style w:type="paragraph" w:customStyle="1" w:styleId="200">
    <w:name w:val="font0"/>
    <w:basedOn w:val="1"/>
    <w:qFormat/>
    <w:uiPriority w:val="0"/>
    <w:pPr>
      <w:widowControl/>
      <w:spacing w:before="100" w:beforeAutospacing="1" w:after="100" w:afterAutospacing="1" w:line="240" w:lineRule="auto"/>
      <w:jc w:val="left"/>
    </w:pPr>
    <w:rPr>
      <w:rFonts w:hint="eastAsia" w:ascii="宋体" w:hAnsi="宋体"/>
      <w:kern w:val="0"/>
      <w:sz w:val="24"/>
    </w:rPr>
  </w:style>
  <w:style w:type="paragraph" w:customStyle="1" w:styleId="201">
    <w:name w:val="Char Char1 Char Char Char Char Char Char Char Char Char Char"/>
    <w:basedOn w:val="1"/>
    <w:qFormat/>
    <w:uiPriority w:val="0"/>
    <w:pPr>
      <w:spacing w:line="240" w:lineRule="auto"/>
    </w:pPr>
    <w:rPr>
      <w:rFonts w:ascii="Tahoma" w:hAnsi="Tahoma"/>
      <w:sz w:val="24"/>
      <w:szCs w:val="20"/>
    </w:rPr>
  </w:style>
  <w:style w:type="paragraph" w:customStyle="1" w:styleId="202">
    <w:name w:val="表文"/>
    <w:basedOn w:val="1"/>
    <w:qFormat/>
    <w:uiPriority w:val="0"/>
    <w:pPr>
      <w:keepNext/>
      <w:adjustRightInd w:val="0"/>
      <w:snapToGrid w:val="0"/>
      <w:spacing w:before="60" w:line="324" w:lineRule="auto"/>
      <w:ind w:firstLine="540" w:firstLineChars="225"/>
      <w:jc w:val="center"/>
    </w:pPr>
    <w:rPr>
      <w:rFonts w:ascii="宋体" w:hAnsi="宋体"/>
      <w:szCs w:val="20"/>
    </w:rPr>
  </w:style>
  <w:style w:type="character" w:customStyle="1" w:styleId="203">
    <w:name w:val="正文文本缩进 3 Char1"/>
    <w:basedOn w:val="96"/>
    <w:qFormat/>
    <w:uiPriority w:val="99"/>
    <w:rPr>
      <w:rFonts w:ascii="Times New Roman" w:hAnsi="Times New Roman" w:eastAsia="宋体" w:cs="Times New Roman"/>
      <w:sz w:val="16"/>
      <w:szCs w:val="16"/>
    </w:rPr>
  </w:style>
  <w:style w:type="paragraph" w:customStyle="1" w:styleId="204">
    <w:name w:val="Char Char Char Char Char Char Char Char Char Char Char Char Char Char Char Char Char Char Char Char Char1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5">
    <w:name w:val="Char Char Char Char Char Char 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6">
    <w:name w:val="reader-word-layer reader-word-s6-11"/>
    <w:basedOn w:val="1"/>
    <w:qFormat/>
    <w:uiPriority w:val="0"/>
    <w:pPr>
      <w:widowControl/>
      <w:spacing w:before="100" w:beforeAutospacing="1" w:after="100" w:afterAutospacing="1" w:line="240" w:lineRule="auto"/>
      <w:jc w:val="left"/>
    </w:pPr>
    <w:rPr>
      <w:rFonts w:ascii="宋体" w:hAnsi="宋体" w:cs="宋体"/>
      <w:kern w:val="0"/>
      <w:sz w:val="24"/>
    </w:rPr>
  </w:style>
  <w:style w:type="character" w:customStyle="1" w:styleId="207">
    <w:name w:val="正文文本 Char2"/>
    <w:basedOn w:val="96"/>
    <w:qFormat/>
    <w:uiPriority w:val="99"/>
    <w:rPr>
      <w:rFonts w:ascii="Times New Roman" w:hAnsi="Times New Roman" w:eastAsia="宋体" w:cs="Times New Roman"/>
      <w:szCs w:val="24"/>
    </w:rPr>
  </w:style>
  <w:style w:type="paragraph" w:customStyle="1" w:styleId="208">
    <w:name w:val="Char Char Char Char"/>
    <w:basedOn w:val="1"/>
    <w:qFormat/>
    <w:uiPriority w:val="0"/>
    <w:pPr>
      <w:spacing w:line="240" w:lineRule="auto"/>
    </w:pPr>
    <w:rPr>
      <w:rFonts w:ascii="Tahoma" w:hAnsi="Tahoma"/>
      <w:sz w:val="24"/>
      <w:szCs w:val="20"/>
    </w:rPr>
  </w:style>
  <w:style w:type="paragraph" w:customStyle="1" w:styleId="209">
    <w:name w:val="Char"/>
    <w:basedOn w:val="1"/>
    <w:qFormat/>
    <w:uiPriority w:val="0"/>
    <w:pPr>
      <w:spacing w:line="240" w:lineRule="auto"/>
    </w:pPr>
    <w:rPr>
      <w:rFonts w:ascii="Tahoma" w:hAnsi="Tahoma"/>
      <w:sz w:val="24"/>
      <w:szCs w:val="20"/>
    </w:rPr>
  </w:style>
  <w:style w:type="paragraph" w:customStyle="1" w:styleId="210">
    <w:name w:val="主题词"/>
    <w:basedOn w:val="1"/>
    <w:qFormat/>
    <w:uiPriority w:val="0"/>
    <w:pPr>
      <w:adjustRightInd w:val="0"/>
      <w:spacing w:line="360" w:lineRule="exact"/>
      <w:textAlignment w:val="bottom"/>
    </w:pPr>
    <w:rPr>
      <w:rFonts w:eastAsia="黑体"/>
      <w:kern w:val="0"/>
      <w:sz w:val="28"/>
      <w:szCs w:val="20"/>
    </w:rPr>
  </w:style>
  <w:style w:type="paragraph" w:customStyle="1" w:styleId="211">
    <w:name w:val="ST20_4"/>
    <w:basedOn w:val="1"/>
    <w:qFormat/>
    <w:uiPriority w:val="0"/>
    <w:pPr>
      <w:autoSpaceDE w:val="0"/>
      <w:autoSpaceDN w:val="0"/>
      <w:adjustRightInd w:val="0"/>
      <w:spacing w:line="240" w:lineRule="auto"/>
      <w:jc w:val="left"/>
      <w:textAlignment w:val="baseline"/>
    </w:pPr>
    <w:rPr>
      <w:rFonts w:ascii="宋体" w:hAnsi="Tms Rmn"/>
      <w:kern w:val="0"/>
      <w:sz w:val="24"/>
      <w:szCs w:val="20"/>
    </w:rPr>
  </w:style>
  <w:style w:type="paragraph" w:customStyle="1" w:styleId="212">
    <w:name w:val="Char Char Char Char Char Char Char Char Char Char Char Char Char"/>
    <w:basedOn w:val="1"/>
    <w:qFormat/>
    <w:uiPriority w:val="0"/>
    <w:pPr>
      <w:spacing w:line="360" w:lineRule="auto"/>
      <w:ind w:firstLine="200" w:firstLineChars="200"/>
    </w:pPr>
    <w:rPr>
      <w:rFonts w:ascii="宋体" w:hAnsi="宋体" w:cs="宋体"/>
      <w:sz w:val="24"/>
    </w:rPr>
  </w:style>
  <w:style w:type="character" w:customStyle="1" w:styleId="213">
    <w:name w:val="尾注文本 Char1"/>
    <w:basedOn w:val="96"/>
    <w:qFormat/>
    <w:uiPriority w:val="99"/>
    <w:rPr>
      <w:rFonts w:ascii="Times New Roman" w:hAnsi="Times New Roman" w:eastAsia="宋体" w:cs="Times New Roman"/>
      <w:szCs w:val="24"/>
    </w:rPr>
  </w:style>
  <w:style w:type="paragraph" w:customStyle="1" w:styleId="214">
    <w:name w:val="xl32"/>
    <w:basedOn w:val="1"/>
    <w:qFormat/>
    <w:uiPriority w:val="0"/>
    <w:pPr>
      <w:widowControl/>
      <w:pBdr>
        <w:top w:val="single" w:color="C0C0C0" w:sz="4" w:space="0"/>
        <w:left w:val="single" w:color="C0C0C0" w:sz="4" w:space="0"/>
        <w:bottom w:val="single" w:color="C0C0C0" w:sz="4" w:space="0"/>
        <w:right w:val="single" w:color="C0C0C0" w:sz="4" w:space="0"/>
      </w:pBdr>
      <w:spacing w:before="100" w:beforeAutospacing="1" w:after="100" w:afterAutospacing="1" w:line="240" w:lineRule="auto"/>
      <w:jc w:val="right"/>
    </w:pPr>
    <w:rPr>
      <w:rFonts w:ascii="宋体" w:hAnsi="宋体"/>
      <w:color w:val="000000"/>
      <w:kern w:val="0"/>
      <w:sz w:val="18"/>
      <w:szCs w:val="18"/>
    </w:rPr>
  </w:style>
  <w:style w:type="character" w:customStyle="1" w:styleId="215">
    <w:name w:val="HTML 预设格式 Char1"/>
    <w:basedOn w:val="96"/>
    <w:qFormat/>
    <w:uiPriority w:val="99"/>
    <w:rPr>
      <w:rFonts w:ascii="Courier New" w:hAnsi="Courier New" w:eastAsia="宋体" w:cs="Courier New"/>
      <w:sz w:val="20"/>
      <w:szCs w:val="20"/>
    </w:rPr>
  </w:style>
  <w:style w:type="character" w:customStyle="1" w:styleId="216">
    <w:name w:val="注释标题 Char1"/>
    <w:basedOn w:val="96"/>
    <w:qFormat/>
    <w:uiPriority w:val="99"/>
    <w:rPr>
      <w:rFonts w:ascii="Times New Roman" w:hAnsi="Times New Roman" w:eastAsia="宋体" w:cs="Times New Roman"/>
      <w:szCs w:val="24"/>
    </w:rPr>
  </w:style>
  <w:style w:type="paragraph" w:customStyle="1" w:styleId="217">
    <w:name w:val="font6"/>
    <w:basedOn w:val="1"/>
    <w:qFormat/>
    <w:uiPriority w:val="0"/>
    <w:pPr>
      <w:widowControl/>
      <w:spacing w:before="100" w:beforeAutospacing="1" w:after="100" w:afterAutospacing="1" w:line="240" w:lineRule="auto"/>
      <w:jc w:val="left"/>
    </w:pPr>
    <w:rPr>
      <w:kern w:val="0"/>
      <w:sz w:val="24"/>
    </w:rPr>
  </w:style>
  <w:style w:type="character" w:customStyle="1" w:styleId="218">
    <w:name w:val="正文文本 2 Char1"/>
    <w:basedOn w:val="96"/>
    <w:qFormat/>
    <w:uiPriority w:val="99"/>
    <w:rPr>
      <w:rFonts w:ascii="Times New Roman" w:hAnsi="Times New Roman" w:eastAsia="宋体" w:cs="Times New Roman"/>
      <w:szCs w:val="24"/>
    </w:rPr>
  </w:style>
  <w:style w:type="paragraph" w:customStyle="1" w:styleId="219">
    <w:name w:val="样式 标题 6 + 段前: 0.2 行1"/>
    <w:basedOn w:val="8"/>
    <w:qFormat/>
    <w:uiPriority w:val="0"/>
    <w:pPr>
      <w:widowControl/>
      <w:tabs>
        <w:tab w:val="left" w:pos="0"/>
      </w:tabs>
      <w:overflowPunct w:val="0"/>
      <w:autoSpaceDE w:val="0"/>
      <w:autoSpaceDN w:val="0"/>
      <w:adjustRightInd w:val="0"/>
      <w:snapToGrid w:val="0"/>
      <w:spacing w:beforeLines="20" w:after="0" w:line="220" w:lineRule="atLeast"/>
      <w:ind w:firstLine="225" w:firstLineChars="225"/>
      <w:jc w:val="left"/>
      <w:textAlignment w:val="baseline"/>
    </w:pPr>
    <w:rPr>
      <w:rFonts w:ascii="Arial Black" w:hAnsi="Arial Black" w:eastAsia="宋体" w:cs="宋体"/>
      <w:b w:val="0"/>
      <w:bCs w:val="0"/>
      <w:spacing w:val="-5"/>
      <w:kern w:val="20"/>
      <w:szCs w:val="20"/>
    </w:rPr>
  </w:style>
  <w:style w:type="paragraph" w:customStyle="1" w:styleId="220">
    <w:name w:val="2 Char Char Char"/>
    <w:basedOn w:val="1"/>
    <w:qFormat/>
    <w:uiPriority w:val="0"/>
    <w:pPr>
      <w:spacing w:line="240" w:lineRule="auto"/>
    </w:pPr>
    <w:rPr>
      <w:rFonts w:ascii="Tahoma" w:hAnsi="Tahoma"/>
      <w:sz w:val="24"/>
      <w:szCs w:val="20"/>
    </w:rPr>
  </w:style>
  <w:style w:type="paragraph" w:customStyle="1" w:styleId="221">
    <w:name w:val="reader-word-layer reader-word-s6-0"/>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222">
    <w:name w:val="Char Char Char Char Char Char Char Char Char Char Char Char1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3">
    <w:name w:val="xl28"/>
    <w:basedOn w:val="1"/>
    <w:qFormat/>
    <w:uiPriority w:val="0"/>
    <w:pPr>
      <w:widowControl/>
      <w:spacing w:before="100" w:beforeAutospacing="1" w:after="100" w:afterAutospacing="1" w:line="240" w:lineRule="auto"/>
      <w:jc w:val="center"/>
      <w:textAlignment w:val="center"/>
    </w:pPr>
    <w:rPr>
      <w:rFonts w:ascii="宋体" w:hAnsi="宋体"/>
      <w:kern w:val="0"/>
      <w:sz w:val="28"/>
      <w:szCs w:val="28"/>
    </w:rPr>
  </w:style>
  <w:style w:type="paragraph" w:customStyle="1" w:styleId="224">
    <w:name w:val="2 Char Char Char Char"/>
    <w:basedOn w:val="1"/>
    <w:qFormat/>
    <w:uiPriority w:val="0"/>
    <w:pPr>
      <w:spacing w:line="240" w:lineRule="auto"/>
    </w:pPr>
    <w:rPr>
      <w:rFonts w:ascii="Tahoma" w:hAnsi="Tahoma"/>
      <w:sz w:val="24"/>
      <w:szCs w:val="20"/>
    </w:rPr>
  </w:style>
  <w:style w:type="paragraph" w:customStyle="1" w:styleId="225">
    <w:name w:val="修订1"/>
    <w:qFormat/>
    <w:uiPriority w:val="99"/>
    <w:rPr>
      <w:rFonts w:ascii="Times New Roman" w:hAnsi="Times New Roman" w:eastAsia="宋体" w:cs="Times New Roman"/>
      <w:kern w:val="2"/>
      <w:sz w:val="21"/>
      <w:szCs w:val="24"/>
      <w:lang w:val="en-US" w:eastAsia="zh-CN" w:bidi="ar-SA"/>
    </w:rPr>
  </w:style>
  <w:style w:type="character" w:customStyle="1" w:styleId="226">
    <w:name w:val="副标题 Char1"/>
    <w:basedOn w:val="96"/>
    <w:qFormat/>
    <w:uiPriority w:val="11"/>
    <w:rPr>
      <w:rFonts w:eastAsia="宋体" w:asciiTheme="majorHAnsi" w:hAnsiTheme="majorHAnsi" w:cstheme="majorBidi"/>
      <w:b/>
      <w:bCs/>
      <w:kern w:val="28"/>
      <w:sz w:val="32"/>
      <w:szCs w:val="32"/>
    </w:rPr>
  </w:style>
  <w:style w:type="character" w:customStyle="1" w:styleId="227">
    <w:name w:val="结束语 Char1"/>
    <w:basedOn w:val="96"/>
    <w:qFormat/>
    <w:uiPriority w:val="99"/>
    <w:rPr>
      <w:rFonts w:ascii="Times New Roman" w:hAnsi="Times New Roman" w:eastAsia="宋体" w:cs="Times New Roman"/>
      <w:szCs w:val="24"/>
    </w:rPr>
  </w:style>
  <w:style w:type="character" w:customStyle="1" w:styleId="228">
    <w:name w:val="正文首行缩进 Char2"/>
    <w:basedOn w:val="207"/>
    <w:qFormat/>
    <w:uiPriority w:val="99"/>
    <w:rPr>
      <w:rFonts w:ascii="Times New Roman" w:hAnsi="Times New Roman" w:eastAsia="宋体" w:cs="Times New Roman"/>
      <w:szCs w:val="24"/>
    </w:rPr>
  </w:style>
  <w:style w:type="paragraph" w:customStyle="1" w:styleId="229">
    <w:name w:val="Char3"/>
    <w:basedOn w:val="1"/>
    <w:qFormat/>
    <w:uiPriority w:val="0"/>
    <w:pPr>
      <w:spacing w:line="240" w:lineRule="auto"/>
    </w:pPr>
    <w:rPr>
      <w:rFonts w:ascii="Tahoma" w:hAnsi="Tahoma"/>
      <w:sz w:val="24"/>
      <w:szCs w:val="20"/>
    </w:rPr>
  </w:style>
  <w:style w:type="character" w:customStyle="1" w:styleId="230">
    <w:name w:val="正文文本 3 Char1"/>
    <w:basedOn w:val="96"/>
    <w:qFormat/>
    <w:uiPriority w:val="99"/>
    <w:rPr>
      <w:rFonts w:ascii="Times New Roman" w:hAnsi="Times New Roman" w:eastAsia="宋体" w:cs="Times New Roman"/>
      <w:sz w:val="16"/>
      <w:szCs w:val="16"/>
    </w:rPr>
  </w:style>
  <w:style w:type="paragraph" w:customStyle="1" w:styleId="23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2">
    <w:name w:val="ST20_1"/>
    <w:basedOn w:val="1"/>
    <w:qFormat/>
    <w:uiPriority w:val="0"/>
    <w:pPr>
      <w:autoSpaceDE w:val="0"/>
      <w:autoSpaceDN w:val="0"/>
      <w:adjustRightInd w:val="0"/>
      <w:spacing w:line="500" w:lineRule="atLeast"/>
      <w:jc w:val="left"/>
      <w:textAlignment w:val="baseline"/>
    </w:pPr>
    <w:rPr>
      <w:rFonts w:ascii="昆仑仿宋" w:hAnsi="Tms Rmn" w:eastAsia="昆仑仿宋"/>
      <w:kern w:val="0"/>
      <w:sz w:val="28"/>
      <w:szCs w:val="20"/>
    </w:rPr>
  </w:style>
  <w:style w:type="paragraph" w:customStyle="1" w:styleId="233">
    <w:name w:val="样式 标题 2标题-2 + (西文) Times New Roman (中文) 宋体 小三 黑色 段前: 0 磅 段..."/>
    <w:basedOn w:val="6"/>
    <w:next w:val="10"/>
    <w:qFormat/>
    <w:uiPriority w:val="0"/>
    <w:pPr>
      <w:autoSpaceDE w:val="0"/>
      <w:autoSpaceDN w:val="0"/>
      <w:adjustRightInd w:val="0"/>
      <w:spacing w:before="0" w:after="0" w:line="360" w:lineRule="auto"/>
      <w:ind w:firstLine="567"/>
      <w:textAlignment w:val="baseline"/>
    </w:pPr>
    <w:rPr>
      <w:rFonts w:ascii="Times New Roman" w:hAnsi="Times New Roman" w:eastAsia="宋体" w:cs="宋体"/>
      <w:bCs w:val="0"/>
      <w:color w:val="000000"/>
      <w:kern w:val="0"/>
      <w:sz w:val="24"/>
      <w:szCs w:val="20"/>
    </w:rPr>
  </w:style>
  <w:style w:type="paragraph" w:customStyle="1" w:styleId="234">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kern w:val="0"/>
      <w:szCs w:val="21"/>
    </w:rPr>
  </w:style>
  <w:style w:type="character" w:customStyle="1" w:styleId="235">
    <w:name w:val="签名 Char1"/>
    <w:basedOn w:val="96"/>
    <w:qFormat/>
    <w:uiPriority w:val="99"/>
    <w:rPr>
      <w:rFonts w:ascii="Times New Roman" w:hAnsi="Times New Roman" w:eastAsia="宋体" w:cs="Times New Roman"/>
      <w:szCs w:val="24"/>
    </w:rPr>
  </w:style>
  <w:style w:type="paragraph" w:customStyle="1" w:styleId="236">
    <w:name w:val="样式 幼圆 首行缩进:  0.74 厘米"/>
    <w:basedOn w:val="1"/>
    <w:qFormat/>
    <w:uiPriority w:val="0"/>
    <w:pPr>
      <w:spacing w:line="360" w:lineRule="auto"/>
    </w:pPr>
    <w:rPr>
      <w:rFonts w:ascii="幼圆"/>
      <w:sz w:val="24"/>
      <w:szCs w:val="20"/>
    </w:rPr>
  </w:style>
  <w:style w:type="paragraph" w:customStyle="1" w:styleId="237">
    <w:name w:val="Char Char1 Char Char Char Char Char Char Char Char Char Char3"/>
    <w:basedOn w:val="1"/>
    <w:qFormat/>
    <w:uiPriority w:val="0"/>
    <w:pPr>
      <w:spacing w:line="240" w:lineRule="auto"/>
    </w:pPr>
    <w:rPr>
      <w:rFonts w:ascii="Tahoma" w:hAnsi="Tahoma"/>
      <w:sz w:val="24"/>
      <w:szCs w:val="20"/>
    </w:rPr>
  </w:style>
  <w:style w:type="character" w:customStyle="1" w:styleId="238">
    <w:name w:val="页脚 Char1"/>
    <w:basedOn w:val="96"/>
    <w:qFormat/>
    <w:uiPriority w:val="99"/>
    <w:rPr>
      <w:rFonts w:ascii="Times New Roman" w:hAnsi="Times New Roman" w:eastAsia="宋体" w:cs="Times New Roman"/>
      <w:sz w:val="18"/>
      <w:szCs w:val="18"/>
    </w:rPr>
  </w:style>
  <w:style w:type="character" w:customStyle="1" w:styleId="239">
    <w:name w:val="电子邮件签名 Char1"/>
    <w:basedOn w:val="96"/>
    <w:qFormat/>
    <w:uiPriority w:val="99"/>
    <w:rPr>
      <w:rFonts w:ascii="Times New Roman" w:hAnsi="Times New Roman" w:eastAsia="宋体" w:cs="Times New Roman"/>
      <w:szCs w:val="24"/>
    </w:rPr>
  </w:style>
  <w:style w:type="character" w:customStyle="1" w:styleId="240">
    <w:name w:val="正文文本缩进 2 Char1"/>
    <w:basedOn w:val="96"/>
    <w:qFormat/>
    <w:uiPriority w:val="99"/>
    <w:rPr>
      <w:rFonts w:ascii="Times New Roman" w:hAnsi="Times New Roman" w:eastAsia="宋体" w:cs="Times New Roman"/>
      <w:szCs w:val="24"/>
    </w:rPr>
  </w:style>
  <w:style w:type="paragraph" w:customStyle="1" w:styleId="241">
    <w:name w:val="xl31"/>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0C0C0"/>
      <w:spacing w:before="100" w:beforeAutospacing="1" w:after="100" w:afterAutospacing="1" w:line="240" w:lineRule="auto"/>
      <w:jc w:val="center"/>
    </w:pPr>
    <w:rPr>
      <w:rFonts w:ascii="宋体" w:hAnsi="宋体"/>
      <w:color w:val="000000"/>
      <w:kern w:val="0"/>
      <w:sz w:val="18"/>
      <w:szCs w:val="18"/>
    </w:rPr>
  </w:style>
  <w:style w:type="paragraph" w:customStyle="1" w:styleId="242">
    <w:name w:val="Char Char Char Char Char Char Char Char Char Char Char Char1 Char3"/>
    <w:basedOn w:val="1"/>
    <w:qFormat/>
    <w:uiPriority w:val="0"/>
    <w:pPr>
      <w:spacing w:line="240" w:lineRule="auto"/>
    </w:pPr>
  </w:style>
  <w:style w:type="paragraph" w:customStyle="1" w:styleId="243">
    <w:name w:val="2 Char"/>
    <w:basedOn w:val="1"/>
    <w:qFormat/>
    <w:uiPriority w:val="0"/>
    <w:pPr>
      <w:spacing w:line="240" w:lineRule="auto"/>
    </w:pPr>
    <w:rPr>
      <w:rFonts w:ascii="Tahoma" w:hAnsi="Tahoma"/>
      <w:sz w:val="24"/>
      <w:szCs w:val="20"/>
    </w:rPr>
  </w:style>
  <w:style w:type="character" w:customStyle="1" w:styleId="244">
    <w:name w:val="信息标题 Char1"/>
    <w:basedOn w:val="96"/>
    <w:qFormat/>
    <w:uiPriority w:val="99"/>
    <w:rPr>
      <w:rFonts w:asciiTheme="majorHAnsi" w:hAnsiTheme="majorHAnsi" w:eastAsiaTheme="majorEastAsia" w:cstheme="majorBidi"/>
      <w:sz w:val="24"/>
      <w:szCs w:val="24"/>
      <w:shd w:val="pct20" w:color="auto" w:fill="auto"/>
    </w:rPr>
  </w:style>
  <w:style w:type="character" w:customStyle="1" w:styleId="245">
    <w:name w:val="宏文本 Char1"/>
    <w:basedOn w:val="96"/>
    <w:qFormat/>
    <w:uiPriority w:val="99"/>
    <w:rPr>
      <w:rFonts w:ascii="Courier New" w:hAnsi="Courier New" w:eastAsia="宋体" w:cs="Courier New"/>
      <w:sz w:val="24"/>
      <w:szCs w:val="24"/>
    </w:rPr>
  </w:style>
  <w:style w:type="paragraph" w:customStyle="1" w:styleId="246">
    <w:name w:val="Char Char Char1 Char"/>
    <w:basedOn w:val="1"/>
    <w:qFormat/>
    <w:uiPriority w:val="0"/>
    <w:pPr>
      <w:spacing w:line="240" w:lineRule="auto"/>
    </w:pPr>
    <w:rPr>
      <w:rFonts w:ascii="Tahoma" w:hAnsi="Tahoma"/>
      <w:sz w:val="24"/>
      <w:szCs w:val="20"/>
    </w:rPr>
  </w:style>
  <w:style w:type="paragraph" w:customStyle="1" w:styleId="247">
    <w:name w:val="font5"/>
    <w:basedOn w:val="1"/>
    <w:qFormat/>
    <w:uiPriority w:val="0"/>
    <w:pPr>
      <w:widowControl/>
      <w:spacing w:before="100" w:beforeAutospacing="1" w:after="100" w:afterAutospacing="1" w:line="240" w:lineRule="auto"/>
      <w:jc w:val="left"/>
    </w:pPr>
    <w:rPr>
      <w:rFonts w:hint="eastAsia" w:ascii="宋体" w:hAnsi="宋体"/>
      <w:kern w:val="0"/>
      <w:sz w:val="18"/>
      <w:szCs w:val="18"/>
    </w:rPr>
  </w:style>
  <w:style w:type="paragraph" w:customStyle="1" w:styleId="248">
    <w:name w:val="zgx"/>
    <w:basedOn w:val="1"/>
    <w:qFormat/>
    <w:uiPriority w:val="0"/>
    <w:pPr>
      <w:adjustRightInd w:val="0"/>
      <w:spacing w:line="360" w:lineRule="auto"/>
      <w:ind w:firstLine="454"/>
      <w:textAlignment w:val="baseline"/>
    </w:pPr>
    <w:rPr>
      <w:kern w:val="28"/>
      <w:sz w:val="24"/>
      <w:szCs w:val="20"/>
    </w:rPr>
  </w:style>
  <w:style w:type="paragraph" w:customStyle="1" w:styleId="249">
    <w:name w:val="表标题"/>
    <w:basedOn w:val="1"/>
    <w:next w:val="45"/>
    <w:qFormat/>
    <w:uiPriority w:val="0"/>
    <w:pPr>
      <w:keepNext/>
      <w:snapToGrid w:val="0"/>
      <w:spacing w:line="240" w:lineRule="auto"/>
      <w:jc w:val="center"/>
      <w:textAlignment w:val="baseline"/>
    </w:pPr>
    <w:rPr>
      <w:rFonts w:ascii="宋体" w:hAnsi="宋体"/>
      <w:b/>
      <w:bCs/>
      <w:kern w:val="28"/>
      <w:sz w:val="24"/>
    </w:rPr>
  </w:style>
  <w:style w:type="paragraph" w:customStyle="1" w:styleId="250">
    <w:name w:val="表单位"/>
    <w:basedOn w:val="1"/>
    <w:next w:val="1"/>
    <w:qFormat/>
    <w:uiPriority w:val="0"/>
    <w:pPr>
      <w:keepNext/>
      <w:adjustRightInd w:val="0"/>
      <w:snapToGrid w:val="0"/>
      <w:spacing w:before="72" w:after="72" w:line="324" w:lineRule="auto"/>
      <w:ind w:firstLine="540" w:firstLineChars="225"/>
      <w:jc w:val="right"/>
    </w:pPr>
    <w:rPr>
      <w:rFonts w:ascii="仿宋_GB2312" w:hAnsi="宋体" w:eastAsia="仿宋_GB2312"/>
      <w:sz w:val="24"/>
    </w:rPr>
  </w:style>
  <w:style w:type="paragraph" w:customStyle="1" w:styleId="251">
    <w:name w:val="标准"/>
    <w:basedOn w:val="1"/>
    <w:qFormat/>
    <w:uiPriority w:val="0"/>
    <w:pPr>
      <w:autoSpaceDE w:val="0"/>
      <w:autoSpaceDN w:val="0"/>
      <w:adjustRightInd w:val="0"/>
      <w:spacing w:line="480" w:lineRule="atLeast"/>
      <w:textAlignment w:val="bottom"/>
    </w:pPr>
    <w:rPr>
      <w:rFonts w:ascii="昆仑仿宋" w:eastAsia="昆仑仿宋"/>
      <w:spacing w:val="40"/>
      <w:kern w:val="0"/>
      <w:sz w:val="28"/>
      <w:szCs w:val="20"/>
    </w:rPr>
  </w:style>
  <w:style w:type="paragraph" w:customStyle="1" w:styleId="252">
    <w:name w:val="标题4"/>
    <w:basedOn w:val="6"/>
    <w:qFormat/>
    <w:uiPriority w:val="0"/>
    <w:pPr>
      <w:numPr>
        <w:ilvl w:val="3"/>
        <w:numId w:val="1"/>
      </w:numPr>
      <w:spacing w:beforeLines="30" w:afterLines="30" w:line="360" w:lineRule="auto"/>
      <w:ind w:firstLine="562"/>
    </w:pPr>
    <w:rPr>
      <w:rFonts w:ascii="Times New Roman" w:hAnsi="Times New Roman" w:eastAsia="楷体_GB2312"/>
      <w:kern w:val="28"/>
    </w:rPr>
  </w:style>
  <w:style w:type="character" w:customStyle="1" w:styleId="253">
    <w:name w:val="脚注文本 Char2"/>
    <w:basedOn w:val="96"/>
    <w:qFormat/>
    <w:uiPriority w:val="99"/>
    <w:rPr>
      <w:rFonts w:ascii="Times New Roman" w:hAnsi="Times New Roman" w:eastAsia="宋体" w:cs="Times New Roman"/>
      <w:sz w:val="18"/>
      <w:szCs w:val="18"/>
    </w:rPr>
  </w:style>
  <w:style w:type="character" w:customStyle="1" w:styleId="254">
    <w:name w:val="正文文本缩进 Char1"/>
    <w:basedOn w:val="96"/>
    <w:qFormat/>
    <w:uiPriority w:val="0"/>
    <w:rPr>
      <w:rFonts w:ascii="Times New Roman" w:hAnsi="Times New Roman" w:eastAsia="宋体" w:cs="Times New Roman"/>
      <w:szCs w:val="24"/>
    </w:rPr>
  </w:style>
  <w:style w:type="paragraph" w:customStyle="1" w:styleId="255">
    <w:name w:val="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6">
    <w:name w:val="Char Char Char Char Char Char Char Char Char Char Char Char Char Char Char Char Char Char Char Char Char1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7">
    <w:name w:val="样式5"/>
    <w:basedOn w:val="258"/>
    <w:qFormat/>
    <w:uiPriority w:val="0"/>
    <w:pPr>
      <w:tabs>
        <w:tab w:val="left" w:pos="0"/>
        <w:tab w:val="left" w:pos="840"/>
      </w:tabs>
      <w:ind w:left="0" w:firstLine="0"/>
    </w:pPr>
  </w:style>
  <w:style w:type="paragraph" w:customStyle="1" w:styleId="258">
    <w:name w:val="样式3"/>
    <w:basedOn w:val="4"/>
    <w:qFormat/>
    <w:uiPriority w:val="0"/>
    <w:pPr>
      <w:keepNext w:val="0"/>
      <w:tabs>
        <w:tab w:val="left" w:pos="0"/>
        <w:tab w:val="left" w:pos="840"/>
        <w:tab w:val="clear" w:pos="4680"/>
      </w:tabs>
      <w:adjustRightInd/>
      <w:snapToGrid/>
      <w:spacing w:before="120" w:after="120" w:line="300" w:lineRule="auto"/>
      <w:ind w:left="840" w:hanging="420"/>
    </w:pPr>
    <w:rPr>
      <w:rFonts w:ascii="仿宋_GB2312"/>
      <w:bCs w:val="0"/>
      <w:kern w:val="44"/>
    </w:rPr>
  </w:style>
  <w:style w:type="character" w:customStyle="1" w:styleId="259">
    <w:name w:val="正文首行缩进 2 Char1"/>
    <w:basedOn w:val="254"/>
    <w:qFormat/>
    <w:uiPriority w:val="99"/>
    <w:rPr>
      <w:rFonts w:ascii="Times New Roman" w:hAnsi="Times New Roman" w:eastAsia="宋体" w:cs="Times New Roman"/>
      <w:szCs w:val="24"/>
    </w:rPr>
  </w:style>
  <w:style w:type="paragraph" w:customStyle="1" w:styleId="260">
    <w:name w:val="纯文本1"/>
    <w:basedOn w:val="1"/>
    <w:qFormat/>
    <w:uiPriority w:val="0"/>
    <w:pPr>
      <w:adjustRightInd w:val="0"/>
      <w:spacing w:line="240" w:lineRule="auto"/>
      <w:textAlignment w:val="baseline"/>
    </w:pPr>
    <w:rPr>
      <w:rFonts w:ascii="宋体"/>
      <w:kern w:val="0"/>
      <w:szCs w:val="20"/>
    </w:rPr>
  </w:style>
  <w:style w:type="character" w:customStyle="1" w:styleId="261">
    <w:name w:val="标题 Char1"/>
    <w:basedOn w:val="96"/>
    <w:qFormat/>
    <w:uiPriority w:val="10"/>
    <w:rPr>
      <w:rFonts w:eastAsia="宋体" w:asciiTheme="majorHAnsi" w:hAnsiTheme="majorHAnsi" w:cstheme="majorBidi"/>
      <w:b/>
      <w:bCs/>
      <w:sz w:val="32"/>
      <w:szCs w:val="32"/>
    </w:rPr>
  </w:style>
  <w:style w:type="paragraph" w:customStyle="1" w:styleId="262">
    <w:name w:val="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3">
    <w:name w:val="样式 表标题 + 段前: 0.2 行"/>
    <w:basedOn w:val="249"/>
    <w:qFormat/>
    <w:uiPriority w:val="0"/>
    <w:pPr>
      <w:spacing w:beforeLines="50" w:line="360" w:lineRule="auto"/>
      <w:ind w:right="74"/>
    </w:pPr>
    <w:rPr>
      <w:szCs w:val="20"/>
    </w:rPr>
  </w:style>
  <w:style w:type="paragraph" w:customStyle="1" w:styleId="264">
    <w:name w:val="Char1 Char Char Char"/>
    <w:basedOn w:val="1"/>
    <w:qFormat/>
    <w:uiPriority w:val="0"/>
    <w:pPr>
      <w:tabs>
        <w:tab w:val="left" w:pos="720"/>
      </w:tabs>
      <w:spacing w:line="240" w:lineRule="auto"/>
      <w:ind w:left="720" w:hanging="720"/>
    </w:pPr>
    <w:rPr>
      <w:sz w:val="24"/>
    </w:rPr>
  </w:style>
  <w:style w:type="paragraph" w:customStyle="1" w:styleId="26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kern w:val="0"/>
      <w:sz w:val="24"/>
    </w:rPr>
  </w:style>
  <w:style w:type="character" w:customStyle="1" w:styleId="266">
    <w:name w:val="纯文本 Char1"/>
    <w:basedOn w:val="96"/>
    <w:qFormat/>
    <w:uiPriority w:val="99"/>
    <w:rPr>
      <w:rFonts w:ascii="宋体" w:hAnsi="Courier New" w:eastAsia="宋体" w:cs="Courier New"/>
      <w:szCs w:val="21"/>
    </w:rPr>
  </w:style>
  <w:style w:type="paragraph" w:customStyle="1" w:styleId="267">
    <w:name w:val="Char Char Char Char Char Char Char Char Char Char Char Char Char Char Char 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Char1"/>
    <w:basedOn w:val="1"/>
    <w:qFormat/>
    <w:uiPriority w:val="0"/>
    <w:pPr>
      <w:spacing w:line="240" w:lineRule="auto"/>
    </w:pPr>
    <w:rPr>
      <w:sz w:val="24"/>
      <w:szCs w:val="20"/>
    </w:rPr>
  </w:style>
  <w:style w:type="paragraph" w:customStyle="1" w:styleId="269">
    <w:name w:val="样式 标题 5 + 宋体 小四 黑色 悬挂缩进: 0.11 字符"/>
    <w:basedOn w:val="7"/>
    <w:qFormat/>
    <w:uiPriority w:val="0"/>
    <w:pPr>
      <w:keepNext w:val="0"/>
      <w:keepLines w:val="0"/>
      <w:autoSpaceDE w:val="0"/>
      <w:autoSpaceDN w:val="0"/>
      <w:adjustRightInd w:val="0"/>
      <w:snapToGrid w:val="0"/>
      <w:spacing w:before="0" w:after="0" w:line="360" w:lineRule="auto"/>
      <w:ind w:firstLine="567"/>
      <w:textAlignment w:val="baseline"/>
    </w:pPr>
    <w:rPr>
      <w:rFonts w:ascii="宋体" w:hAnsi="宋体" w:cs="宋体"/>
      <w:color w:val="000000"/>
      <w:kern w:val="0"/>
      <w:sz w:val="24"/>
      <w:szCs w:val="20"/>
    </w:rPr>
  </w:style>
  <w:style w:type="character" w:customStyle="1" w:styleId="270">
    <w:name w:val="HTML 地址 Char1"/>
    <w:basedOn w:val="96"/>
    <w:qFormat/>
    <w:uiPriority w:val="99"/>
    <w:rPr>
      <w:rFonts w:ascii="Times New Roman" w:hAnsi="Times New Roman" w:eastAsia="宋体" w:cs="Times New Roman"/>
      <w:i/>
      <w:iCs/>
      <w:szCs w:val="24"/>
    </w:rPr>
  </w:style>
  <w:style w:type="paragraph" w:customStyle="1" w:styleId="271">
    <w:name w:val="图"/>
    <w:basedOn w:val="1"/>
    <w:next w:val="272"/>
    <w:qFormat/>
    <w:uiPriority w:val="0"/>
    <w:pPr>
      <w:keepNext/>
      <w:adjustRightInd w:val="0"/>
      <w:snapToGrid w:val="0"/>
      <w:spacing w:line="324" w:lineRule="auto"/>
      <w:jc w:val="center"/>
    </w:pPr>
    <w:rPr>
      <w:rFonts w:ascii="仿宋_GB2312" w:hAnsi="宋体" w:eastAsia="仿宋_GB2312"/>
      <w:b/>
      <w:sz w:val="24"/>
    </w:rPr>
  </w:style>
  <w:style w:type="paragraph" w:customStyle="1" w:styleId="272">
    <w:name w:val="图标题"/>
    <w:basedOn w:val="1"/>
    <w:link w:val="2130"/>
    <w:qFormat/>
    <w:uiPriority w:val="0"/>
    <w:pPr>
      <w:tabs>
        <w:tab w:val="left" w:pos="1728"/>
      </w:tabs>
      <w:spacing w:beforeLines="30" w:afterLines="30" w:line="300" w:lineRule="auto"/>
      <w:ind w:hanging="137"/>
      <w:jc w:val="center"/>
    </w:pPr>
    <w:rPr>
      <w:rFonts w:eastAsia="仿宋_GB2312"/>
      <w:b/>
      <w:kern w:val="28"/>
      <w:sz w:val="24"/>
    </w:rPr>
  </w:style>
  <w:style w:type="paragraph" w:customStyle="1" w:styleId="273">
    <w:name w:val="reader-word-layer reader-word-s6-10 reader-word-s6-1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274">
    <w:name w:val="TOC 标题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275">
    <w:name w:val="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76">
    <w:name w:val="样式 标题 6 + 段前: 0.2 行"/>
    <w:basedOn w:val="8"/>
    <w:qFormat/>
    <w:uiPriority w:val="0"/>
    <w:pPr>
      <w:widowControl/>
      <w:tabs>
        <w:tab w:val="left" w:pos="0"/>
      </w:tabs>
      <w:overflowPunct w:val="0"/>
      <w:autoSpaceDE w:val="0"/>
      <w:autoSpaceDN w:val="0"/>
      <w:adjustRightInd w:val="0"/>
      <w:snapToGrid w:val="0"/>
      <w:spacing w:beforeLines="20" w:after="0" w:line="360" w:lineRule="auto"/>
      <w:jc w:val="left"/>
      <w:textAlignment w:val="baseline"/>
    </w:pPr>
    <w:rPr>
      <w:rFonts w:ascii="Arial Black" w:hAnsi="Arial Black" w:eastAsia="宋体"/>
      <w:b w:val="0"/>
      <w:bCs w:val="0"/>
      <w:spacing w:val="-5"/>
      <w:kern w:val="20"/>
    </w:rPr>
  </w:style>
  <w:style w:type="paragraph" w:customStyle="1" w:styleId="277">
    <w:name w:val="表格"/>
    <w:basedOn w:val="1"/>
    <w:qFormat/>
    <w:uiPriority w:val="0"/>
    <w:pPr>
      <w:widowControl/>
      <w:spacing w:line="300" w:lineRule="auto"/>
      <w:jc w:val="left"/>
    </w:pPr>
    <w:rPr>
      <w:rFonts w:ascii="宋体"/>
      <w:color w:val="000000"/>
      <w:kern w:val="28"/>
      <w:szCs w:val="20"/>
    </w:rPr>
  </w:style>
  <w:style w:type="paragraph" w:customStyle="1" w:styleId="278">
    <w:name w:val="sun"/>
    <w:basedOn w:val="1"/>
    <w:qFormat/>
    <w:uiPriority w:val="0"/>
    <w:pPr>
      <w:adjustRightInd w:val="0"/>
      <w:spacing w:line="360" w:lineRule="auto"/>
      <w:ind w:firstLine="567"/>
      <w:textAlignment w:val="baseline"/>
    </w:pPr>
    <w:rPr>
      <w:kern w:val="28"/>
      <w:sz w:val="24"/>
      <w:szCs w:val="20"/>
    </w:rPr>
  </w:style>
  <w:style w:type="paragraph" w:customStyle="1" w:styleId="279">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0">
    <w:name w:val="Char2"/>
    <w:basedOn w:val="1"/>
    <w:qFormat/>
    <w:uiPriority w:val="0"/>
    <w:pPr>
      <w:spacing w:line="240" w:lineRule="auto"/>
    </w:pPr>
    <w:rPr>
      <w:rFonts w:ascii="Tahoma" w:hAnsi="Tahoma"/>
      <w:sz w:val="24"/>
      <w:szCs w:val="20"/>
    </w:rPr>
  </w:style>
  <w:style w:type="paragraph" w:customStyle="1" w:styleId="281">
    <w:name w:val="reader-word-layer reader-word-s5-0"/>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282">
    <w:name w:val="2"/>
    <w:basedOn w:val="1"/>
    <w:next w:val="76"/>
    <w:qFormat/>
    <w:uiPriority w:val="0"/>
    <w:pPr>
      <w:spacing w:line="240" w:lineRule="auto"/>
      <w:jc w:val="center"/>
    </w:pPr>
    <w:rPr>
      <w:rFonts w:eastAsia="楷体_GB2312"/>
      <w:spacing w:val="-10"/>
      <w:sz w:val="24"/>
      <w:szCs w:val="20"/>
    </w:rPr>
  </w:style>
  <w:style w:type="paragraph" w:customStyle="1" w:styleId="283">
    <w:name w:val="xl40"/>
    <w:basedOn w:val="1"/>
    <w:next w:val="1"/>
    <w:qFormat/>
    <w:uiPriority w:val="0"/>
    <w:pPr>
      <w:autoSpaceDE w:val="0"/>
      <w:autoSpaceDN w:val="0"/>
      <w:adjustRightInd w:val="0"/>
      <w:spacing w:line="240" w:lineRule="auto"/>
      <w:jc w:val="left"/>
    </w:pPr>
    <w:rPr>
      <w:rFonts w:ascii="仿宋_GB2312" w:eastAsia="仿宋_GB2312"/>
      <w:kern w:val="0"/>
      <w:sz w:val="24"/>
    </w:rPr>
  </w:style>
  <w:style w:type="paragraph" w:customStyle="1" w:styleId="284">
    <w:name w:val="_Style 55"/>
    <w:basedOn w:val="1"/>
    <w:next w:val="76"/>
    <w:qFormat/>
    <w:uiPriority w:val="0"/>
    <w:pPr>
      <w:spacing w:line="240" w:lineRule="auto"/>
      <w:jc w:val="center"/>
    </w:pPr>
    <w:rPr>
      <w:rFonts w:eastAsia="楷体_GB2312"/>
      <w:spacing w:val="-10"/>
      <w:sz w:val="24"/>
      <w:szCs w:val="20"/>
    </w:rPr>
  </w:style>
  <w:style w:type="paragraph" w:customStyle="1" w:styleId="285">
    <w:name w:val="Char2 Char Char Char Char Char Char Char Char3"/>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86">
    <w:name w:val="Char15"/>
    <w:basedOn w:val="1"/>
    <w:qFormat/>
    <w:uiPriority w:val="0"/>
    <w:pPr>
      <w:adjustRightInd w:val="0"/>
      <w:snapToGrid w:val="0"/>
      <w:spacing w:line="380" w:lineRule="exact"/>
    </w:pPr>
    <w:rPr>
      <w:sz w:val="24"/>
      <w:szCs w:val="20"/>
    </w:rPr>
  </w:style>
  <w:style w:type="paragraph" w:customStyle="1" w:styleId="287">
    <w:name w:val="Char Char Char Char Char Char Char Char Char Char Char Char"/>
    <w:basedOn w:val="1"/>
    <w:qFormat/>
    <w:uiPriority w:val="0"/>
    <w:pPr>
      <w:spacing w:line="240" w:lineRule="auto"/>
    </w:pPr>
    <w:rPr>
      <w:rFonts w:ascii="Tahoma" w:hAnsi="Tahoma"/>
      <w:sz w:val="24"/>
      <w:szCs w:val="20"/>
    </w:rPr>
  </w:style>
  <w:style w:type="paragraph" w:customStyle="1" w:styleId="288">
    <w:name w:val="xl25"/>
    <w:basedOn w:val="1"/>
    <w:qFormat/>
    <w:uiPriority w:val="0"/>
    <w:pPr>
      <w:widowControl/>
      <w:spacing w:before="100" w:beforeAutospacing="1" w:after="100" w:afterAutospacing="1" w:line="240" w:lineRule="auto"/>
      <w:jc w:val="center"/>
    </w:pPr>
    <w:rPr>
      <w:rFonts w:ascii="宋体" w:hAnsi="宋体"/>
      <w:kern w:val="0"/>
      <w:sz w:val="18"/>
      <w:szCs w:val="18"/>
    </w:rPr>
  </w:style>
  <w:style w:type="paragraph" w:customStyle="1" w:styleId="289">
    <w:name w:val="Char1 Char Char Char Char Char Char Char Char Char Char Char Char"/>
    <w:basedOn w:val="1"/>
    <w:qFormat/>
    <w:uiPriority w:val="0"/>
    <w:pPr>
      <w:snapToGrid w:val="0"/>
      <w:spacing w:line="360" w:lineRule="auto"/>
      <w:ind w:firstLine="200" w:firstLineChars="200"/>
    </w:pPr>
    <w:rPr>
      <w:rFonts w:eastAsia="仿宋_GB2312"/>
      <w:sz w:val="24"/>
    </w:rPr>
  </w:style>
  <w:style w:type="paragraph" w:customStyle="1" w:styleId="290">
    <w:name w:val="框图"/>
    <w:basedOn w:val="1"/>
    <w:qFormat/>
    <w:uiPriority w:val="0"/>
    <w:pPr>
      <w:spacing w:line="300" w:lineRule="exact"/>
      <w:ind w:left="-749" w:firstLine="749"/>
      <w:jc w:val="center"/>
    </w:pPr>
    <w:rPr>
      <w:rFonts w:ascii="宋体" w:hAnsi="宋体"/>
      <w:snapToGrid w:val="0"/>
      <w:spacing w:val="-8"/>
      <w:kern w:val="10"/>
      <w:position w:val="6"/>
      <w:szCs w:val="21"/>
    </w:rPr>
  </w:style>
  <w:style w:type="paragraph" w:customStyle="1" w:styleId="291">
    <w:name w:val="样式1"/>
    <w:basedOn w:val="1"/>
    <w:qFormat/>
    <w:uiPriority w:val="0"/>
    <w:pPr>
      <w:tabs>
        <w:tab w:val="left" w:pos="2320"/>
      </w:tabs>
      <w:spacing w:beforeLines="30" w:afterLines="30" w:line="300" w:lineRule="auto"/>
      <w:ind w:left="2320" w:hanging="580" w:firstLineChars="200"/>
    </w:pPr>
    <w:rPr>
      <w:rFonts w:eastAsia="仿宋_GB2312"/>
      <w:kern w:val="28"/>
      <w:sz w:val="24"/>
    </w:rPr>
  </w:style>
  <w:style w:type="paragraph" w:customStyle="1" w:styleId="292">
    <w:name w:val="Char2 Char Char Char Char Char1 Char"/>
    <w:basedOn w:val="1"/>
    <w:qFormat/>
    <w:uiPriority w:val="0"/>
    <w:pPr>
      <w:tabs>
        <w:tab w:val="left" w:pos="900"/>
      </w:tabs>
      <w:spacing w:line="240" w:lineRule="auto"/>
      <w:ind w:left="900" w:hanging="420"/>
    </w:pPr>
    <w:rPr>
      <w:sz w:val="24"/>
    </w:rPr>
  </w:style>
  <w:style w:type="paragraph" w:customStyle="1" w:styleId="293">
    <w:name w:val="5正文"/>
    <w:basedOn w:val="1"/>
    <w:qFormat/>
    <w:uiPriority w:val="0"/>
    <w:pPr>
      <w:spacing w:line="300" w:lineRule="auto"/>
      <w:ind w:firstLine="200" w:firstLineChars="200"/>
    </w:pPr>
    <w:rPr>
      <w:kern w:val="0"/>
    </w:rPr>
  </w:style>
  <w:style w:type="paragraph" w:customStyle="1" w:styleId="294">
    <w:name w:val="样式2"/>
    <w:basedOn w:val="4"/>
    <w:qFormat/>
    <w:uiPriority w:val="0"/>
    <w:pPr>
      <w:keepNext w:val="0"/>
      <w:tabs>
        <w:tab w:val="left" w:pos="0"/>
        <w:tab w:val="clear" w:pos="4680"/>
      </w:tabs>
      <w:adjustRightInd/>
      <w:snapToGrid/>
      <w:spacing w:before="120" w:after="120" w:line="300" w:lineRule="auto"/>
      <w:ind w:left="480"/>
    </w:pPr>
    <w:rPr>
      <w:rFonts w:ascii="仿宋_GB2312"/>
      <w:bCs w:val="0"/>
      <w:kern w:val="44"/>
    </w:rPr>
  </w:style>
  <w:style w:type="paragraph" w:customStyle="1" w:styleId="295">
    <w:name w:val="Char Char Char Char Char Char Char Char Char Char Char Char Char Char Char Char Char Char Char Char Char Char Char Char Char Char Char Char Char Char Char"/>
    <w:basedOn w:val="1"/>
    <w:qFormat/>
    <w:uiPriority w:val="0"/>
    <w:pPr>
      <w:spacing w:line="240" w:lineRule="auto"/>
    </w:pPr>
    <w:rPr>
      <w:rFonts w:ascii="Tahoma" w:hAnsi="Tahoma"/>
      <w:sz w:val="24"/>
      <w:szCs w:val="20"/>
    </w:rPr>
  </w:style>
  <w:style w:type="paragraph" w:customStyle="1" w:styleId="296">
    <w:name w:val="样式 列表 + 段前: 3.9 磅"/>
    <w:basedOn w:val="66"/>
    <w:qFormat/>
    <w:uiPriority w:val="0"/>
    <w:pPr>
      <w:ind w:left="-77" w:leftChars="-45" w:hanging="31" w:hangingChars="17"/>
      <w:jc w:val="center"/>
    </w:pPr>
    <w:rPr>
      <w:sz w:val="18"/>
      <w:szCs w:val="20"/>
    </w:rPr>
  </w:style>
  <w:style w:type="paragraph" w:styleId="297">
    <w:name w:val="List Paragraph"/>
    <w:basedOn w:val="1"/>
    <w:qFormat/>
    <w:uiPriority w:val="34"/>
    <w:pPr>
      <w:spacing w:line="240" w:lineRule="auto"/>
      <w:ind w:firstLine="420" w:firstLineChars="200"/>
    </w:pPr>
    <w:rPr>
      <w:rFonts w:ascii="Calibri" w:hAnsi="Calibri"/>
      <w:szCs w:val="22"/>
    </w:rPr>
  </w:style>
  <w:style w:type="paragraph" w:customStyle="1" w:styleId="298">
    <w:name w:val="二级正文"/>
    <w:basedOn w:val="1"/>
    <w:qFormat/>
    <w:uiPriority w:val="0"/>
    <w:pPr>
      <w:tabs>
        <w:tab w:val="left" w:pos="3280"/>
      </w:tabs>
      <w:adjustRightInd w:val="0"/>
      <w:snapToGrid w:val="0"/>
      <w:spacing w:after="240" w:line="240" w:lineRule="auto"/>
      <w:ind w:firstLine="482" w:firstLineChars="200"/>
      <w:textAlignment w:val="baseline"/>
    </w:pPr>
    <w:rPr>
      <w:b/>
      <w:sz w:val="24"/>
    </w:rPr>
  </w:style>
  <w:style w:type="paragraph" w:customStyle="1" w:styleId="299">
    <w:name w:val="样式 标题 5 + 段前: 0.2 行 段后: 0.2 行"/>
    <w:basedOn w:val="7"/>
    <w:qFormat/>
    <w:uiPriority w:val="0"/>
    <w:pPr>
      <w:spacing w:beforeLines="20" w:afterLines="20" w:line="377" w:lineRule="auto"/>
      <w:jc w:val="left"/>
    </w:pPr>
    <w:rPr>
      <w:rFonts w:ascii="Arial" w:hAnsi="Arial" w:eastAsia="仿宋_GB2312" w:cs="宋体"/>
      <w:sz w:val="24"/>
      <w:szCs w:val="20"/>
    </w:rPr>
  </w:style>
  <w:style w:type="paragraph" w:customStyle="1" w:styleId="300">
    <w:name w:val="Char5"/>
    <w:basedOn w:val="1"/>
    <w:qFormat/>
    <w:uiPriority w:val="0"/>
    <w:pPr>
      <w:spacing w:line="240" w:lineRule="auto"/>
    </w:pPr>
    <w:rPr>
      <w:rFonts w:ascii="Tahoma" w:hAnsi="Tahoma"/>
      <w:sz w:val="24"/>
      <w:szCs w:val="20"/>
    </w:rPr>
  </w:style>
  <w:style w:type="paragraph" w:customStyle="1" w:styleId="301">
    <w:name w:val="Char Char Char1"/>
    <w:basedOn w:val="1"/>
    <w:qFormat/>
    <w:uiPriority w:val="0"/>
    <w:pPr>
      <w:spacing w:line="240" w:lineRule="auto"/>
    </w:pPr>
    <w:rPr>
      <w:rFonts w:ascii="Tahoma" w:hAnsi="Tahoma"/>
      <w:sz w:val="24"/>
      <w:szCs w:val="20"/>
    </w:rPr>
  </w:style>
  <w:style w:type="paragraph" w:customStyle="1" w:styleId="302">
    <w:name w:val="lgy"/>
    <w:basedOn w:val="1"/>
    <w:qFormat/>
    <w:uiPriority w:val="0"/>
    <w:pPr>
      <w:tabs>
        <w:tab w:val="left" w:pos="960"/>
        <w:tab w:val="left" w:pos="1728"/>
      </w:tabs>
      <w:spacing w:line="360" w:lineRule="auto"/>
      <w:ind w:left="425" w:hanging="137"/>
    </w:pPr>
    <w:rPr>
      <w:rFonts w:ascii="宋体"/>
      <w:sz w:val="24"/>
      <w:szCs w:val="20"/>
    </w:rPr>
  </w:style>
  <w:style w:type="paragraph" w:customStyle="1" w:styleId="303">
    <w:name w:val="样式 幼圆 (符号) 宋体 左  2 字符 首行缩进:  1.75 字符"/>
    <w:basedOn w:val="1"/>
    <w:qFormat/>
    <w:uiPriority w:val="0"/>
    <w:pPr>
      <w:spacing w:line="360" w:lineRule="auto"/>
      <w:ind w:left="480" w:leftChars="200" w:firstLine="420" w:firstLineChars="175"/>
    </w:pPr>
    <w:rPr>
      <w:rFonts w:ascii="幼圆" w:hAnsi="宋体" w:cs="宋体"/>
      <w:sz w:val="24"/>
      <w:szCs w:val="20"/>
    </w:rPr>
  </w:style>
  <w:style w:type="paragraph" w:customStyle="1" w:styleId="304">
    <w:name w:val="Char Char Char Char3"/>
    <w:basedOn w:val="1"/>
    <w:qFormat/>
    <w:uiPriority w:val="0"/>
    <w:pPr>
      <w:spacing w:line="240" w:lineRule="auto"/>
    </w:pPr>
    <w:rPr>
      <w:rFonts w:ascii="宋体" w:hAnsi="宋体" w:cs="Courier New"/>
      <w:szCs w:val="32"/>
    </w:rPr>
  </w:style>
  <w:style w:type="paragraph" w:customStyle="1" w:styleId="305">
    <w:name w:val="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6">
    <w:name w:val="Char11"/>
    <w:basedOn w:val="1"/>
    <w:qFormat/>
    <w:uiPriority w:val="0"/>
    <w:pPr>
      <w:spacing w:line="240" w:lineRule="auto"/>
    </w:pPr>
    <w:rPr>
      <w:sz w:val="24"/>
      <w:szCs w:val="20"/>
    </w:rPr>
  </w:style>
  <w:style w:type="paragraph" w:customStyle="1" w:styleId="307">
    <w:name w:val="union"/>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308">
    <w:name w:val="Char Char Char Char Char Char Char"/>
    <w:basedOn w:val="1"/>
    <w:qFormat/>
    <w:uiPriority w:val="0"/>
    <w:pPr>
      <w:spacing w:line="240" w:lineRule="auto"/>
    </w:pPr>
    <w:rPr>
      <w:rFonts w:ascii="Tahoma" w:hAnsi="Tahoma"/>
      <w:sz w:val="24"/>
      <w:szCs w:val="20"/>
    </w:rPr>
  </w:style>
  <w:style w:type="paragraph" w:customStyle="1" w:styleId="309">
    <w:name w:val="reader-word-layer reader-word-s5-2"/>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310">
    <w:name w:val="reader-word-layer reader-word-s6-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311">
    <w:name w:val="reader-word-layer reader-word-s6-4"/>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312">
    <w:name w:val="Char Char Char Char Char Char Char Char Char Char Char Char Char Char Char"/>
    <w:basedOn w:val="1"/>
    <w:qFormat/>
    <w:uiPriority w:val="0"/>
    <w:pPr>
      <w:spacing w:line="240" w:lineRule="auto"/>
    </w:pPr>
    <w:rPr>
      <w:rFonts w:ascii="Tahoma" w:hAnsi="Tahoma"/>
      <w:sz w:val="24"/>
      <w:szCs w:val="20"/>
    </w:rPr>
  </w:style>
  <w:style w:type="paragraph" w:customStyle="1" w:styleId="313">
    <w:name w:val="样式7"/>
    <w:basedOn w:val="1"/>
    <w:link w:val="314"/>
    <w:qFormat/>
    <w:uiPriority w:val="0"/>
    <w:pPr>
      <w:spacing w:line="360" w:lineRule="auto"/>
      <w:ind w:firstLine="567"/>
    </w:pPr>
    <w:rPr>
      <w:rFonts w:ascii="仿宋_GB2312" w:eastAsia="仿宋_GB2312"/>
      <w:sz w:val="28"/>
      <w:szCs w:val="20"/>
    </w:rPr>
  </w:style>
  <w:style w:type="character" w:customStyle="1" w:styleId="314">
    <w:name w:val="样式7 Char"/>
    <w:link w:val="313"/>
    <w:qFormat/>
    <w:locked/>
    <w:uiPriority w:val="0"/>
    <w:rPr>
      <w:rFonts w:ascii="仿宋_GB2312" w:hAnsi="Times New Roman" w:eastAsia="仿宋_GB2312"/>
      <w:kern w:val="2"/>
      <w:sz w:val="28"/>
    </w:rPr>
  </w:style>
  <w:style w:type="paragraph" w:customStyle="1" w:styleId="315">
    <w:name w:val="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16">
    <w:name w:val="2 Char Char Char Char Char Char"/>
    <w:basedOn w:val="1"/>
    <w:qFormat/>
    <w:uiPriority w:val="0"/>
    <w:pPr>
      <w:spacing w:line="240" w:lineRule="auto"/>
    </w:pPr>
    <w:rPr>
      <w:rFonts w:ascii="Tahoma" w:hAnsi="Tahoma"/>
      <w:sz w:val="24"/>
      <w:szCs w:val="20"/>
    </w:rPr>
  </w:style>
  <w:style w:type="paragraph" w:customStyle="1" w:styleId="317">
    <w:name w:val="Char Char Char Char Char Char Char Char Char Char Char Char Char Char Char Char Char Char"/>
    <w:basedOn w:val="1"/>
    <w:qFormat/>
    <w:uiPriority w:val="0"/>
    <w:pPr>
      <w:spacing w:line="240" w:lineRule="auto"/>
    </w:pPr>
    <w:rPr>
      <w:rFonts w:ascii="Tahoma" w:hAnsi="Tahoma"/>
      <w:sz w:val="24"/>
      <w:szCs w:val="20"/>
    </w:rPr>
  </w:style>
  <w:style w:type="paragraph" w:customStyle="1" w:styleId="318">
    <w:name w:val="1"/>
    <w:basedOn w:val="1"/>
    <w:next w:val="70"/>
    <w:qFormat/>
    <w:uiPriority w:val="0"/>
    <w:pPr>
      <w:spacing w:line="240" w:lineRule="auto"/>
      <w:ind w:firstLine="480" w:firstLineChars="200"/>
      <w:jc w:val="left"/>
    </w:pPr>
    <w:rPr>
      <w:rFonts w:ascii="宋体" w:hAnsi="宋体"/>
      <w:sz w:val="24"/>
    </w:rPr>
  </w:style>
  <w:style w:type="paragraph" w:customStyle="1" w:styleId="319">
    <w:name w:val="Char Char Char Char Char Char Char Char Char Char Char Char Char Char Char Char Char Char Char Char Char Char Char Char Char Char Char Char Char Char3"/>
    <w:basedOn w:val="1"/>
    <w:qFormat/>
    <w:uiPriority w:val="0"/>
    <w:pPr>
      <w:spacing w:line="240" w:lineRule="auto"/>
    </w:pPr>
    <w:rPr>
      <w:rFonts w:eastAsia="仿宋_GB2312"/>
      <w:kern w:val="28"/>
      <w:sz w:val="24"/>
      <w:szCs w:val="20"/>
    </w:rPr>
  </w:style>
  <w:style w:type="paragraph" w:customStyle="1" w:styleId="320">
    <w:name w:val="Char Char Char Char Char Char Char Char Char Char Char Char Char Char Char Char Char Char Char Char Char"/>
    <w:basedOn w:val="1"/>
    <w:qFormat/>
    <w:uiPriority w:val="0"/>
    <w:pPr>
      <w:spacing w:line="240" w:lineRule="auto"/>
    </w:pPr>
    <w:rPr>
      <w:rFonts w:ascii="Tahoma" w:hAnsi="Tahoma"/>
      <w:sz w:val="24"/>
      <w:szCs w:val="20"/>
    </w:rPr>
  </w:style>
  <w:style w:type="paragraph" w:customStyle="1" w:styleId="321">
    <w:name w:val="一级标题"/>
    <w:basedOn w:val="3"/>
    <w:next w:val="1"/>
    <w:qFormat/>
    <w:uiPriority w:val="0"/>
    <w:pPr>
      <w:tabs>
        <w:tab w:val="left" w:pos="960"/>
        <w:tab w:val="left" w:pos="1728"/>
      </w:tabs>
      <w:spacing w:beforeLines="150" w:after="0" w:line="500" w:lineRule="exact"/>
      <w:ind w:left="425" w:hanging="137"/>
      <w:jc w:val="both"/>
      <w:outlineLvl w:val="1"/>
    </w:pPr>
    <w:rPr>
      <w:rFonts w:ascii="Times New Roman" w:cs="Times New Roman"/>
      <w:b/>
      <w:sz w:val="28"/>
      <w:szCs w:val="44"/>
    </w:rPr>
  </w:style>
  <w:style w:type="table" w:customStyle="1" w:styleId="322">
    <w:name w:val="网格型5"/>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
    <w:name w:val="网格型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
    <w:name w:val="网格型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
    <w:name w:val="网格型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7">
    <w:name w:val="标题 2 Char1"/>
    <w:qFormat/>
    <w:uiPriority w:val="0"/>
    <w:rPr>
      <w:rFonts w:ascii="仿宋_GB2312" w:hAnsi="宋体" w:eastAsia="仿宋_GB2312"/>
      <w:b/>
      <w:bCs/>
      <w:kern w:val="24"/>
      <w:sz w:val="24"/>
      <w:szCs w:val="30"/>
    </w:rPr>
  </w:style>
  <w:style w:type="character" w:customStyle="1" w:styleId="328">
    <w:name w:val="Char Char12"/>
    <w:qFormat/>
    <w:uiPriority w:val="0"/>
    <w:rPr>
      <w:rFonts w:ascii="Arial" w:hAnsi="Arial" w:eastAsia="黑体"/>
      <w:b/>
      <w:bCs/>
      <w:kern w:val="28"/>
      <w:sz w:val="28"/>
      <w:szCs w:val="28"/>
      <w:lang w:val="en-US" w:eastAsia="zh-CN" w:bidi="ar-SA"/>
    </w:rPr>
  </w:style>
  <w:style w:type="paragraph" w:customStyle="1" w:styleId="329">
    <w:name w:val="Char Char Char Char Char Char Char Char Char Char Char Char Char Char Char Char Char Char2"/>
    <w:basedOn w:val="1"/>
    <w:qFormat/>
    <w:uiPriority w:val="0"/>
    <w:pPr>
      <w:spacing w:line="240" w:lineRule="auto"/>
    </w:pPr>
    <w:rPr>
      <w:rFonts w:ascii="Tahoma" w:hAnsi="Tahoma"/>
      <w:sz w:val="24"/>
      <w:szCs w:val="20"/>
    </w:rPr>
  </w:style>
  <w:style w:type="paragraph" w:customStyle="1" w:styleId="330">
    <w:name w:val="Char Char Char12"/>
    <w:basedOn w:val="1"/>
    <w:qFormat/>
    <w:uiPriority w:val="0"/>
    <w:pPr>
      <w:spacing w:line="240" w:lineRule="auto"/>
    </w:pPr>
    <w:rPr>
      <w:rFonts w:ascii="Tahoma" w:hAnsi="Tahoma"/>
      <w:sz w:val="24"/>
      <w:szCs w:val="20"/>
    </w:rPr>
  </w:style>
  <w:style w:type="character" w:customStyle="1" w:styleId="331">
    <w:name w:val="Char Char22"/>
    <w:qFormat/>
    <w:uiPriority w:val="0"/>
    <w:rPr>
      <w:rFonts w:ascii="黑体" w:eastAsia="黑体"/>
      <w:b/>
      <w:bCs/>
      <w:kern w:val="44"/>
      <w:sz w:val="28"/>
      <w:szCs w:val="28"/>
      <w:lang w:val="en-US" w:eastAsia="zh-CN" w:bidi="ar-SA"/>
    </w:rPr>
  </w:style>
  <w:style w:type="paragraph" w:customStyle="1" w:styleId="332">
    <w:name w:val="Char Char Char Char Char Char Char Char Char Char Char Char Char Char Char2"/>
    <w:basedOn w:val="1"/>
    <w:qFormat/>
    <w:uiPriority w:val="0"/>
    <w:pPr>
      <w:spacing w:line="240" w:lineRule="auto"/>
    </w:pPr>
    <w:rPr>
      <w:rFonts w:ascii="Tahoma" w:hAnsi="Tahoma"/>
      <w:sz w:val="24"/>
      <w:szCs w:val="20"/>
    </w:rPr>
  </w:style>
  <w:style w:type="paragraph" w:customStyle="1" w:styleId="333">
    <w:name w:val="Char Char Char Char Char Char Char Char Char Char Char Char2"/>
    <w:basedOn w:val="1"/>
    <w:qFormat/>
    <w:uiPriority w:val="0"/>
    <w:pPr>
      <w:spacing w:line="240" w:lineRule="auto"/>
    </w:pPr>
    <w:rPr>
      <w:rFonts w:ascii="Tahoma" w:hAnsi="Tahoma"/>
      <w:sz w:val="24"/>
      <w:szCs w:val="20"/>
    </w:rPr>
  </w:style>
  <w:style w:type="paragraph" w:customStyle="1" w:styleId="334">
    <w:name w:val="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35">
    <w:name w:val="Char Char Char Char Char Char Char Char Char Char Char Char Char Char Char Char Char Char Char Char Char2"/>
    <w:basedOn w:val="1"/>
    <w:qFormat/>
    <w:uiPriority w:val="0"/>
    <w:pPr>
      <w:spacing w:line="240" w:lineRule="auto"/>
    </w:pPr>
    <w:rPr>
      <w:rFonts w:ascii="Tahoma" w:hAnsi="Tahoma"/>
      <w:sz w:val="24"/>
      <w:szCs w:val="20"/>
    </w:rPr>
  </w:style>
  <w:style w:type="paragraph" w:customStyle="1" w:styleId="336">
    <w:name w:val="Char Char Char Char1"/>
    <w:basedOn w:val="1"/>
    <w:qFormat/>
    <w:uiPriority w:val="0"/>
    <w:pPr>
      <w:spacing w:line="240" w:lineRule="auto"/>
    </w:pPr>
    <w:rPr>
      <w:rFonts w:ascii="Tahoma" w:hAnsi="Tahoma"/>
      <w:sz w:val="24"/>
      <w:szCs w:val="20"/>
    </w:rPr>
  </w:style>
  <w:style w:type="paragraph" w:customStyle="1" w:styleId="337">
    <w:name w:val="Char Char Char Char Char Char Char Char Char Char Char Char Char Char Char Char Char Char Char Char Char1 Char Char 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38">
    <w:name w:val="Char Char Char Char Char Char Char Char Char Char Char Char Char Char Char Char Char Char Char Char Char Char Char Char Char Char Char Char Char Char Char2"/>
    <w:basedOn w:val="1"/>
    <w:qFormat/>
    <w:uiPriority w:val="0"/>
    <w:pPr>
      <w:spacing w:line="240" w:lineRule="auto"/>
    </w:pPr>
    <w:rPr>
      <w:rFonts w:ascii="Tahoma" w:hAnsi="Tahoma"/>
      <w:sz w:val="24"/>
      <w:szCs w:val="20"/>
    </w:rPr>
  </w:style>
  <w:style w:type="paragraph" w:customStyle="1" w:styleId="339">
    <w:name w:val="Char Char Char Char Char Char Char Char Char Char Char Char Char Char Char Char Char Char Char Char Char1 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340">
    <w:name w:val="Char Char Char22"/>
    <w:qFormat/>
    <w:uiPriority w:val="0"/>
    <w:rPr>
      <w:rFonts w:ascii="仿宋_GB2312" w:eastAsia="仿宋_GB2312"/>
      <w:b/>
      <w:bCs/>
      <w:kern w:val="44"/>
      <w:sz w:val="24"/>
      <w:szCs w:val="28"/>
      <w:lang w:val="en-US" w:eastAsia="zh-CN" w:bidi="ar-SA"/>
    </w:rPr>
  </w:style>
  <w:style w:type="character" w:customStyle="1" w:styleId="341">
    <w:name w:val="Char Char32"/>
    <w:qFormat/>
    <w:uiPriority w:val="0"/>
    <w:rPr>
      <w:rFonts w:ascii="宋体" w:hAnsi="宋体" w:eastAsia="仿宋_GB2312"/>
      <w:b/>
      <w:kern w:val="24"/>
      <w:sz w:val="28"/>
      <w:lang w:val="en-US" w:eastAsia="zh-CN" w:bidi="ar-SA"/>
    </w:rPr>
  </w:style>
  <w:style w:type="paragraph" w:customStyle="1" w:styleId="342">
    <w:name w:val="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3">
    <w:name w:val="Char Char 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4">
    <w:name w:val="Char Char Char Char Char Char Char Char Char Char Char Char Char Char Char Char Char Char Char Char Char1 Char Char Char Char Char 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5">
    <w:name w:val="Char Char Char Char Char Char Char Char Char Char Char Char1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6">
    <w:name w:val="Char Char Char1 Char2"/>
    <w:basedOn w:val="1"/>
    <w:qFormat/>
    <w:uiPriority w:val="0"/>
    <w:pPr>
      <w:spacing w:line="240" w:lineRule="auto"/>
    </w:pPr>
    <w:rPr>
      <w:rFonts w:ascii="Tahoma" w:hAnsi="Tahoma"/>
      <w:sz w:val="24"/>
      <w:szCs w:val="20"/>
    </w:rPr>
  </w:style>
  <w:style w:type="paragraph" w:customStyle="1" w:styleId="347">
    <w:name w:val="Char2 Char Char Char Char Char1 Char2"/>
    <w:basedOn w:val="1"/>
    <w:qFormat/>
    <w:uiPriority w:val="0"/>
    <w:pPr>
      <w:tabs>
        <w:tab w:val="left" w:pos="900"/>
      </w:tabs>
      <w:spacing w:line="240" w:lineRule="auto"/>
      <w:ind w:left="900" w:hanging="420"/>
    </w:pPr>
    <w:rPr>
      <w:sz w:val="24"/>
    </w:rPr>
  </w:style>
  <w:style w:type="paragraph" w:customStyle="1" w:styleId="348">
    <w:name w:val="Char1 Char Char Char2"/>
    <w:basedOn w:val="1"/>
    <w:qFormat/>
    <w:uiPriority w:val="0"/>
    <w:pPr>
      <w:tabs>
        <w:tab w:val="left" w:pos="720"/>
      </w:tabs>
      <w:spacing w:line="240" w:lineRule="auto"/>
      <w:ind w:left="720" w:hanging="720"/>
    </w:pPr>
    <w:rPr>
      <w:sz w:val="24"/>
    </w:rPr>
  </w:style>
  <w:style w:type="paragraph" w:customStyle="1" w:styleId="349">
    <w:name w:val="Char Char Char Char Char Char Char Char Char Char Char Char1 Char1"/>
    <w:basedOn w:val="1"/>
    <w:qFormat/>
    <w:uiPriority w:val="0"/>
    <w:pPr>
      <w:spacing w:line="240" w:lineRule="auto"/>
    </w:pPr>
  </w:style>
  <w:style w:type="paragraph" w:customStyle="1" w:styleId="350">
    <w:name w:val="Char12"/>
    <w:basedOn w:val="1"/>
    <w:qFormat/>
    <w:uiPriority w:val="0"/>
    <w:pPr>
      <w:adjustRightInd w:val="0"/>
      <w:snapToGrid w:val="0"/>
      <w:spacing w:line="380" w:lineRule="exact"/>
    </w:pPr>
    <w:rPr>
      <w:sz w:val="24"/>
      <w:szCs w:val="20"/>
    </w:rPr>
  </w:style>
  <w:style w:type="paragraph" w:customStyle="1" w:styleId="351">
    <w:name w:val="Char Char Char Char Char Char Char Char Char Char Char Char Char Char Char Char Char Char Char Char Char Char Char Char Char Char Char Char Char Char1"/>
    <w:basedOn w:val="1"/>
    <w:qFormat/>
    <w:uiPriority w:val="0"/>
    <w:pPr>
      <w:spacing w:line="240" w:lineRule="auto"/>
    </w:pPr>
    <w:rPr>
      <w:szCs w:val="20"/>
    </w:rPr>
  </w:style>
  <w:style w:type="paragraph" w:customStyle="1" w:styleId="352">
    <w:name w:val="Char Char1 Char Char Char Char Char Char Char Char Char Char1"/>
    <w:basedOn w:val="1"/>
    <w:qFormat/>
    <w:uiPriority w:val="0"/>
    <w:pPr>
      <w:spacing w:line="240" w:lineRule="auto"/>
    </w:pPr>
    <w:rPr>
      <w:rFonts w:ascii="Tahoma" w:hAnsi="Tahoma"/>
      <w:sz w:val="24"/>
      <w:szCs w:val="20"/>
    </w:rPr>
  </w:style>
  <w:style w:type="paragraph" w:customStyle="1" w:styleId="353">
    <w:name w:val="纯文本11"/>
    <w:basedOn w:val="1"/>
    <w:qFormat/>
    <w:uiPriority w:val="0"/>
    <w:pPr>
      <w:adjustRightInd w:val="0"/>
      <w:spacing w:line="240" w:lineRule="auto"/>
      <w:textAlignment w:val="baseline"/>
    </w:pPr>
    <w:rPr>
      <w:rFonts w:ascii="宋体"/>
      <w:kern w:val="0"/>
      <w:szCs w:val="20"/>
    </w:rPr>
  </w:style>
  <w:style w:type="paragraph" w:customStyle="1" w:styleId="354">
    <w:name w:val="Char32"/>
    <w:basedOn w:val="1"/>
    <w:qFormat/>
    <w:uiPriority w:val="0"/>
    <w:pPr>
      <w:spacing w:line="240" w:lineRule="auto"/>
    </w:pPr>
    <w:rPr>
      <w:rFonts w:ascii="Tahoma" w:hAnsi="Tahoma"/>
      <w:sz w:val="24"/>
      <w:szCs w:val="20"/>
    </w:rPr>
  </w:style>
  <w:style w:type="paragraph" w:customStyle="1" w:styleId="355">
    <w:name w:val="Char Char Char Char Char Char Char2"/>
    <w:basedOn w:val="1"/>
    <w:qFormat/>
    <w:uiPriority w:val="0"/>
    <w:pPr>
      <w:spacing w:line="240" w:lineRule="auto"/>
    </w:pPr>
    <w:rPr>
      <w:rFonts w:ascii="Tahoma" w:hAnsi="Tahoma"/>
      <w:sz w:val="24"/>
      <w:szCs w:val="20"/>
    </w:rPr>
  </w:style>
  <w:style w:type="paragraph" w:customStyle="1" w:styleId="356">
    <w:name w:val="Char Char Char Char Char Char1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57">
    <w:name w:val="Char2 Char Char Char Char Char Char 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358">
    <w:name w:val="Char Char Char Char Char Char Char Char Char Char Char Char Char1"/>
    <w:basedOn w:val="1"/>
    <w:qFormat/>
    <w:uiPriority w:val="0"/>
    <w:pPr>
      <w:spacing w:line="360" w:lineRule="auto"/>
      <w:ind w:firstLine="200" w:firstLineChars="200"/>
    </w:pPr>
    <w:rPr>
      <w:rFonts w:ascii="宋体" w:hAnsi="宋体" w:cs="宋体"/>
      <w:sz w:val="24"/>
    </w:rPr>
  </w:style>
  <w:style w:type="character" w:customStyle="1" w:styleId="359">
    <w:name w:val="Char Char332"/>
    <w:qFormat/>
    <w:uiPriority w:val="0"/>
    <w:rPr>
      <w:rFonts w:eastAsia="宋体"/>
      <w:b/>
      <w:bCs/>
      <w:kern w:val="2"/>
      <w:sz w:val="28"/>
      <w:szCs w:val="28"/>
      <w:lang w:val="en-US" w:eastAsia="zh-CN" w:bidi="ar-SA"/>
    </w:rPr>
  </w:style>
  <w:style w:type="paragraph" w:customStyle="1" w:styleId="360">
    <w:name w:val="缺省文本"/>
    <w:basedOn w:val="1"/>
    <w:qFormat/>
    <w:uiPriority w:val="0"/>
    <w:pPr>
      <w:autoSpaceDE w:val="0"/>
      <w:autoSpaceDN w:val="0"/>
      <w:adjustRightInd w:val="0"/>
      <w:spacing w:line="240" w:lineRule="auto"/>
      <w:jc w:val="left"/>
    </w:pPr>
    <w:rPr>
      <w:kern w:val="0"/>
      <w:sz w:val="24"/>
      <w:szCs w:val="20"/>
    </w:rPr>
  </w:style>
  <w:style w:type="character" w:customStyle="1" w:styleId="361">
    <w:name w:val="style41"/>
    <w:qFormat/>
    <w:uiPriority w:val="0"/>
    <w:rPr>
      <w:color w:val="99CCFF"/>
      <w:sz w:val="24"/>
      <w:szCs w:val="24"/>
    </w:rPr>
  </w:style>
  <w:style w:type="character" w:customStyle="1" w:styleId="362">
    <w:name w:val="a12"/>
    <w:qFormat/>
    <w:uiPriority w:val="0"/>
  </w:style>
  <w:style w:type="paragraph" w:customStyle="1" w:styleId="363">
    <w:name w:val="a121"/>
    <w:basedOn w:val="1"/>
    <w:qFormat/>
    <w:uiPriority w:val="0"/>
    <w:pPr>
      <w:widowControl/>
      <w:spacing w:before="100" w:beforeAutospacing="1" w:after="100" w:afterAutospacing="1" w:line="240" w:lineRule="auto"/>
      <w:jc w:val="left"/>
    </w:pPr>
    <w:rPr>
      <w:rFonts w:hint="eastAsia" w:ascii="宋体" w:hAnsi="宋体"/>
      <w:color w:val="000000"/>
      <w:kern w:val="0"/>
      <w:sz w:val="18"/>
      <w:szCs w:val="18"/>
    </w:rPr>
  </w:style>
  <w:style w:type="paragraph" w:customStyle="1" w:styleId="364">
    <w:name w:val="p0"/>
    <w:basedOn w:val="365"/>
    <w:qFormat/>
    <w:uiPriority w:val="0"/>
    <w:pPr>
      <w:widowControl/>
      <w:spacing w:line="240" w:lineRule="auto"/>
    </w:pPr>
    <w:rPr>
      <w:kern w:val="0"/>
      <w:szCs w:val="21"/>
    </w:rPr>
  </w:style>
  <w:style w:type="paragraph" w:customStyle="1" w:styleId="365">
    <w:name w:val="正文 New New"/>
    <w:qFormat/>
    <w:uiPriority w:val="0"/>
    <w:pPr>
      <w:widowControl w:val="0"/>
      <w:spacing w:line="600" w:lineRule="exact"/>
      <w:jc w:val="both"/>
    </w:pPr>
    <w:rPr>
      <w:rFonts w:ascii="Times New Roman" w:hAnsi="Times New Roman" w:eastAsia="仿宋_GB2312" w:cs="Times New Roman"/>
      <w:sz w:val="32"/>
      <w:szCs w:val="24"/>
      <w:lang w:val="en-US" w:eastAsia="zh-CN" w:bidi="ar-SA"/>
    </w:rPr>
  </w:style>
  <w:style w:type="paragraph" w:customStyle="1" w:styleId="366">
    <w:name w:val="p15"/>
    <w:basedOn w:val="1"/>
    <w:qFormat/>
    <w:uiPriority w:val="0"/>
    <w:pPr>
      <w:widowControl/>
      <w:spacing w:before="100" w:after="100" w:line="240" w:lineRule="auto"/>
      <w:jc w:val="left"/>
    </w:pPr>
    <w:rPr>
      <w:rFonts w:ascii="Arial Unicode MS" w:hAnsi="Arial Unicode MS" w:eastAsia="Arial Unicode MS" w:cs="Arial Unicode MS"/>
      <w:kern w:val="0"/>
      <w:sz w:val="24"/>
    </w:rPr>
  </w:style>
  <w:style w:type="paragraph" w:customStyle="1" w:styleId="367">
    <w:name w:val="标题2"/>
    <w:basedOn w:val="4"/>
    <w:qFormat/>
    <w:uiPriority w:val="0"/>
    <w:pPr>
      <w:keepLines w:val="0"/>
      <w:tabs>
        <w:tab w:val="clear" w:pos="4680"/>
      </w:tabs>
      <w:spacing w:line="360" w:lineRule="auto"/>
      <w:jc w:val="center"/>
      <w:outlineLvl w:val="0"/>
    </w:pPr>
    <w:rPr>
      <w:rFonts w:ascii="宋体"/>
      <w:snapToGrid w:val="0"/>
      <w:sz w:val="32"/>
      <w:szCs w:val="32"/>
    </w:rPr>
  </w:style>
  <w:style w:type="character" w:customStyle="1" w:styleId="368">
    <w:name w:val="apple-style-span"/>
    <w:qFormat/>
    <w:uiPriority w:val="0"/>
  </w:style>
  <w:style w:type="paragraph" w:customStyle="1" w:styleId="369">
    <w:name w:val="纯文本2"/>
    <w:basedOn w:val="1"/>
    <w:qFormat/>
    <w:uiPriority w:val="0"/>
    <w:pPr>
      <w:adjustRightInd w:val="0"/>
      <w:spacing w:line="240" w:lineRule="auto"/>
      <w:textAlignment w:val="baseline"/>
    </w:pPr>
    <w:rPr>
      <w:rFonts w:ascii="宋体" w:hAnsi="Courier New"/>
      <w:sz w:val="28"/>
      <w:szCs w:val="20"/>
    </w:rPr>
  </w:style>
  <w:style w:type="character" w:customStyle="1" w:styleId="370">
    <w:name w:val="d11"/>
    <w:qFormat/>
    <w:uiPriority w:val="0"/>
    <w:rPr>
      <w:sz w:val="20"/>
      <w:szCs w:val="20"/>
    </w:rPr>
  </w:style>
  <w:style w:type="paragraph" w:customStyle="1" w:styleId="371">
    <w:name w:val="注释标题1"/>
    <w:basedOn w:val="1"/>
    <w:next w:val="1"/>
    <w:qFormat/>
    <w:uiPriority w:val="0"/>
    <w:pPr>
      <w:adjustRightInd w:val="0"/>
      <w:spacing w:line="240" w:lineRule="auto"/>
      <w:jc w:val="center"/>
      <w:textAlignment w:val="baseline"/>
    </w:pPr>
    <w:rPr>
      <w:szCs w:val="20"/>
    </w:rPr>
  </w:style>
  <w:style w:type="character" w:customStyle="1" w:styleId="372">
    <w:name w:val="bbstyle1"/>
    <w:qFormat/>
    <w:uiPriority w:val="0"/>
    <w:rPr>
      <w:b/>
      <w:bCs/>
      <w:color w:val="FF6600"/>
      <w:sz w:val="15"/>
      <w:szCs w:val="15"/>
    </w:rPr>
  </w:style>
  <w:style w:type="character" w:customStyle="1" w:styleId="373">
    <w:name w:val="aspmaker"/>
    <w:qFormat/>
    <w:uiPriority w:val="0"/>
  </w:style>
  <w:style w:type="character" w:customStyle="1" w:styleId="374">
    <w:name w:val="sp21"/>
    <w:qFormat/>
    <w:uiPriority w:val="0"/>
  </w:style>
  <w:style w:type="paragraph" w:customStyle="1" w:styleId="375">
    <w:name w:val="P0"/>
    <w:basedOn w:val="22"/>
    <w:qFormat/>
    <w:uiPriority w:val="0"/>
    <w:pPr>
      <w:widowControl/>
      <w:ind w:firstLine="0" w:firstLineChars="0"/>
      <w:jc w:val="left"/>
    </w:pPr>
    <w:rPr>
      <w:kern w:val="0"/>
      <w:sz w:val="24"/>
      <w:szCs w:val="20"/>
      <w:lang w:eastAsia="en-US"/>
    </w:rPr>
  </w:style>
  <w:style w:type="character" w:styleId="376">
    <w:name w:val="Placeholder Text"/>
    <w:qFormat/>
    <w:uiPriority w:val="99"/>
    <w:rPr>
      <w:color w:val="808080"/>
    </w:rPr>
  </w:style>
  <w:style w:type="paragraph" w:customStyle="1" w:styleId="377">
    <w:name w:val="Char4"/>
    <w:basedOn w:val="1"/>
    <w:qFormat/>
    <w:uiPriority w:val="0"/>
    <w:pPr>
      <w:spacing w:line="240" w:lineRule="auto"/>
    </w:pPr>
    <w:rPr>
      <w:rFonts w:ascii="Tahoma" w:hAnsi="Tahoma"/>
      <w:sz w:val="24"/>
      <w:szCs w:val="20"/>
    </w:rPr>
  </w:style>
  <w:style w:type="paragraph" w:customStyle="1" w:styleId="378">
    <w:name w:val="Char13"/>
    <w:basedOn w:val="1"/>
    <w:qFormat/>
    <w:uiPriority w:val="0"/>
    <w:pPr>
      <w:spacing w:line="240" w:lineRule="auto"/>
    </w:pPr>
    <w:rPr>
      <w:rFonts w:ascii="Tahoma" w:hAnsi="Tahoma"/>
      <w:sz w:val="24"/>
      <w:szCs w:val="20"/>
    </w:rPr>
  </w:style>
  <w:style w:type="paragraph" w:customStyle="1" w:styleId="37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80">
    <w:name w:val="Char Char23"/>
    <w:basedOn w:val="1"/>
    <w:qFormat/>
    <w:uiPriority w:val="0"/>
    <w:pPr>
      <w:adjustRightInd w:val="0"/>
      <w:snapToGrid w:val="0"/>
      <w:spacing w:line="380" w:lineRule="exact"/>
    </w:pPr>
    <w:rPr>
      <w:sz w:val="24"/>
      <w:szCs w:val="20"/>
    </w:rPr>
  </w:style>
  <w:style w:type="paragraph" w:customStyle="1" w:styleId="381">
    <w:name w:val="Char Char1 Char Char Char Char Char Char Char Char Char Char2"/>
    <w:basedOn w:val="1"/>
    <w:qFormat/>
    <w:uiPriority w:val="0"/>
    <w:pPr>
      <w:spacing w:line="240" w:lineRule="auto"/>
    </w:pPr>
  </w:style>
  <w:style w:type="paragraph" w:customStyle="1" w:styleId="382">
    <w:name w:val="Char Char Char Char Char Char Char Char Char Char Char Char1 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383">
    <w:name w:val="Char Char11"/>
    <w:qFormat/>
    <w:uiPriority w:val="0"/>
    <w:rPr>
      <w:rFonts w:ascii="Arial" w:hAnsi="Arial" w:eastAsia="黑体"/>
      <w:b/>
      <w:bCs/>
      <w:kern w:val="28"/>
      <w:sz w:val="28"/>
      <w:szCs w:val="28"/>
      <w:lang w:val="en-US" w:eastAsia="zh-CN" w:bidi="ar-SA"/>
    </w:rPr>
  </w:style>
  <w:style w:type="paragraph" w:customStyle="1" w:styleId="384">
    <w:name w:val="Char Char Char Char Char Char Char Char Char Char Char Char Char Char Char Char Char Char1"/>
    <w:basedOn w:val="1"/>
    <w:qFormat/>
    <w:uiPriority w:val="0"/>
    <w:pPr>
      <w:spacing w:line="240" w:lineRule="auto"/>
    </w:pPr>
    <w:rPr>
      <w:rFonts w:ascii="Tahoma" w:hAnsi="Tahoma"/>
      <w:sz w:val="24"/>
      <w:szCs w:val="20"/>
    </w:rPr>
  </w:style>
  <w:style w:type="paragraph" w:customStyle="1" w:styleId="385">
    <w:name w:val="Char Char Char11"/>
    <w:basedOn w:val="1"/>
    <w:qFormat/>
    <w:uiPriority w:val="0"/>
    <w:pPr>
      <w:spacing w:line="240" w:lineRule="auto"/>
    </w:pPr>
    <w:rPr>
      <w:rFonts w:ascii="Tahoma" w:hAnsi="Tahoma"/>
      <w:sz w:val="24"/>
      <w:szCs w:val="20"/>
    </w:rPr>
  </w:style>
  <w:style w:type="paragraph" w:customStyle="1" w:styleId="386">
    <w:name w:val="3"/>
    <w:qFormat/>
    <w:uiPriority w:val="0"/>
    <w:pPr>
      <w:widowControl w:val="0"/>
      <w:spacing w:line="440" w:lineRule="exact"/>
      <w:jc w:val="both"/>
    </w:pPr>
    <w:rPr>
      <w:rFonts w:ascii="Times New Roman" w:hAnsi="Times New Roman" w:eastAsia="宋体" w:cs="Times New Roman"/>
      <w:kern w:val="2"/>
      <w:sz w:val="21"/>
      <w:szCs w:val="24"/>
      <w:lang w:val="en-US" w:eastAsia="zh-CN" w:bidi="ar-SA"/>
    </w:rPr>
  </w:style>
  <w:style w:type="character" w:customStyle="1" w:styleId="387">
    <w:name w:val="Char Char21"/>
    <w:qFormat/>
    <w:uiPriority w:val="0"/>
    <w:rPr>
      <w:rFonts w:ascii="黑体" w:eastAsia="黑体"/>
      <w:b/>
      <w:bCs/>
      <w:kern w:val="44"/>
      <w:sz w:val="28"/>
      <w:szCs w:val="28"/>
      <w:lang w:val="en-US" w:eastAsia="zh-CN" w:bidi="ar-SA"/>
    </w:rPr>
  </w:style>
  <w:style w:type="paragraph" w:customStyle="1" w:styleId="388">
    <w:name w:val="Char Char Char Char Char Char Char Char Char Char Char Char Char Char Char1"/>
    <w:basedOn w:val="1"/>
    <w:qFormat/>
    <w:uiPriority w:val="0"/>
    <w:pPr>
      <w:spacing w:line="240" w:lineRule="auto"/>
    </w:pPr>
    <w:rPr>
      <w:rFonts w:ascii="Tahoma" w:hAnsi="Tahoma"/>
      <w:sz w:val="24"/>
      <w:szCs w:val="20"/>
    </w:rPr>
  </w:style>
  <w:style w:type="paragraph" w:customStyle="1" w:styleId="389">
    <w:name w:val="Char Char Char Char Char Char Char Char Char Char Char Char Char Char Char Char Char Char Char Char Char Char Char Char Char Char Char Char Char Char2"/>
    <w:basedOn w:val="1"/>
    <w:qFormat/>
    <w:uiPriority w:val="0"/>
    <w:pPr>
      <w:spacing w:line="240" w:lineRule="auto"/>
    </w:pPr>
    <w:rPr>
      <w:rFonts w:eastAsia="仿宋_GB2312"/>
      <w:kern w:val="28"/>
      <w:sz w:val="24"/>
      <w:szCs w:val="20"/>
    </w:rPr>
  </w:style>
  <w:style w:type="paragraph" w:customStyle="1" w:styleId="390">
    <w:name w:val="Char Char Char Char Char Char Char Char Char Char Char Char1"/>
    <w:basedOn w:val="1"/>
    <w:qFormat/>
    <w:uiPriority w:val="0"/>
    <w:pPr>
      <w:spacing w:line="240" w:lineRule="auto"/>
    </w:pPr>
    <w:rPr>
      <w:rFonts w:ascii="Tahoma" w:hAnsi="Tahoma"/>
      <w:sz w:val="24"/>
      <w:szCs w:val="20"/>
    </w:rPr>
  </w:style>
  <w:style w:type="paragraph" w:customStyle="1" w:styleId="391">
    <w:name w:val="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2">
    <w:name w:val="Char14"/>
    <w:basedOn w:val="1"/>
    <w:qFormat/>
    <w:uiPriority w:val="0"/>
    <w:pPr>
      <w:spacing w:line="240" w:lineRule="auto"/>
    </w:pPr>
    <w:rPr>
      <w:rFonts w:ascii="Tahoma" w:hAnsi="Tahoma"/>
      <w:sz w:val="24"/>
      <w:szCs w:val="20"/>
    </w:rPr>
  </w:style>
  <w:style w:type="paragraph" w:customStyle="1" w:styleId="393">
    <w:name w:val="Char Char Char Char Char Char Char Char Char Char Char Char Char Char Char Char Char Char Char Char Char1"/>
    <w:basedOn w:val="1"/>
    <w:qFormat/>
    <w:uiPriority w:val="0"/>
    <w:pPr>
      <w:spacing w:line="240" w:lineRule="auto"/>
    </w:pPr>
    <w:rPr>
      <w:rFonts w:ascii="Tahoma" w:hAnsi="Tahoma"/>
      <w:sz w:val="24"/>
      <w:szCs w:val="20"/>
    </w:rPr>
  </w:style>
  <w:style w:type="paragraph" w:customStyle="1" w:styleId="394">
    <w:name w:val="Char Char Char Char2"/>
    <w:basedOn w:val="1"/>
    <w:qFormat/>
    <w:uiPriority w:val="0"/>
    <w:pPr>
      <w:spacing w:line="240" w:lineRule="auto"/>
    </w:pPr>
    <w:rPr>
      <w:rFonts w:ascii="Tahoma" w:hAnsi="Tahoma"/>
      <w:sz w:val="24"/>
      <w:szCs w:val="20"/>
    </w:rPr>
  </w:style>
  <w:style w:type="paragraph" w:customStyle="1" w:styleId="395">
    <w:name w:val="Char Char Char Char Char Char Char Char Char Char Char Char Char Char Char Char Char Char Char Char Char1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6">
    <w:name w:val="Char Char Char Char Char Char Char Char Char Char Char Char Char Char Char Char Char Char Char Char Char Char Char Char Char Char Char Char Char Char Char1"/>
    <w:basedOn w:val="1"/>
    <w:qFormat/>
    <w:uiPriority w:val="0"/>
    <w:pPr>
      <w:spacing w:line="240" w:lineRule="auto"/>
    </w:pPr>
    <w:rPr>
      <w:rFonts w:ascii="Tahoma" w:hAnsi="Tahoma"/>
      <w:sz w:val="24"/>
      <w:szCs w:val="20"/>
    </w:rPr>
  </w:style>
  <w:style w:type="paragraph" w:customStyle="1" w:styleId="397">
    <w:name w:val="Char Char Char Char Char Char Char Char Char Char Char Char Char Char Char Char Char Char Char Char Char1 Char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398">
    <w:name w:val="Char Char Char21"/>
    <w:qFormat/>
    <w:uiPriority w:val="0"/>
    <w:rPr>
      <w:rFonts w:ascii="仿宋_GB2312" w:eastAsia="仿宋_GB2312"/>
      <w:b/>
      <w:bCs/>
      <w:kern w:val="44"/>
      <w:sz w:val="24"/>
      <w:szCs w:val="28"/>
      <w:lang w:val="en-US" w:eastAsia="zh-CN" w:bidi="ar-SA"/>
    </w:rPr>
  </w:style>
  <w:style w:type="character" w:customStyle="1" w:styleId="399">
    <w:name w:val="Char Char31"/>
    <w:qFormat/>
    <w:uiPriority w:val="0"/>
    <w:rPr>
      <w:rFonts w:ascii="宋体" w:hAnsi="宋体" w:eastAsia="仿宋_GB2312"/>
      <w:b/>
      <w:kern w:val="24"/>
      <w:sz w:val="28"/>
      <w:lang w:val="en-US" w:eastAsia="zh-CN" w:bidi="ar-SA"/>
    </w:rPr>
  </w:style>
  <w:style w:type="paragraph" w:customStyle="1" w:styleId="400">
    <w:name w:val="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1">
    <w:name w:val="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2">
    <w:name w:val="Char Char Char Char Char Char Char Char Char Char Char Char Char Char Char Char Char Char Char Char Char1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3">
    <w:name w:val="Char Char Char Char Char Char Char Char Char Char Char Char1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4">
    <w:name w:val="Char Char Char1 Char1"/>
    <w:basedOn w:val="1"/>
    <w:qFormat/>
    <w:uiPriority w:val="0"/>
    <w:pPr>
      <w:spacing w:line="240" w:lineRule="auto"/>
    </w:pPr>
    <w:rPr>
      <w:rFonts w:ascii="Tahoma" w:hAnsi="Tahoma"/>
      <w:sz w:val="24"/>
      <w:szCs w:val="20"/>
    </w:rPr>
  </w:style>
  <w:style w:type="paragraph" w:customStyle="1" w:styleId="405">
    <w:name w:val="Char2 Char Char Char Char Char1 Char1"/>
    <w:basedOn w:val="1"/>
    <w:qFormat/>
    <w:uiPriority w:val="0"/>
    <w:pPr>
      <w:tabs>
        <w:tab w:val="left" w:pos="900"/>
      </w:tabs>
      <w:spacing w:line="240" w:lineRule="auto"/>
      <w:ind w:left="900" w:hanging="420"/>
    </w:pPr>
    <w:rPr>
      <w:sz w:val="24"/>
    </w:rPr>
  </w:style>
  <w:style w:type="paragraph" w:customStyle="1" w:styleId="406">
    <w:name w:val="Char1 Char Char Char1"/>
    <w:basedOn w:val="1"/>
    <w:qFormat/>
    <w:uiPriority w:val="0"/>
    <w:pPr>
      <w:tabs>
        <w:tab w:val="left" w:pos="720"/>
      </w:tabs>
      <w:spacing w:line="240" w:lineRule="auto"/>
      <w:ind w:left="720" w:hanging="720"/>
    </w:pPr>
    <w:rPr>
      <w:sz w:val="24"/>
    </w:rPr>
  </w:style>
  <w:style w:type="paragraph" w:customStyle="1" w:styleId="407">
    <w:name w:val="纯文本3"/>
    <w:basedOn w:val="1"/>
    <w:qFormat/>
    <w:uiPriority w:val="0"/>
    <w:pPr>
      <w:adjustRightInd w:val="0"/>
      <w:spacing w:line="240" w:lineRule="auto"/>
      <w:textAlignment w:val="baseline"/>
    </w:pPr>
    <w:rPr>
      <w:rFonts w:ascii="宋体"/>
      <w:kern w:val="0"/>
      <w:szCs w:val="20"/>
    </w:rPr>
  </w:style>
  <w:style w:type="paragraph" w:customStyle="1" w:styleId="408">
    <w:name w:val="Char31"/>
    <w:basedOn w:val="1"/>
    <w:qFormat/>
    <w:uiPriority w:val="0"/>
    <w:pPr>
      <w:spacing w:line="240" w:lineRule="auto"/>
    </w:pPr>
    <w:rPr>
      <w:rFonts w:ascii="Tahoma" w:hAnsi="Tahoma"/>
      <w:sz w:val="24"/>
      <w:szCs w:val="20"/>
    </w:rPr>
  </w:style>
  <w:style w:type="paragraph" w:customStyle="1" w:styleId="409">
    <w:name w:val="Char Char Char Char Char Char Char1"/>
    <w:basedOn w:val="1"/>
    <w:qFormat/>
    <w:uiPriority w:val="0"/>
    <w:pPr>
      <w:spacing w:line="240" w:lineRule="auto"/>
    </w:pPr>
    <w:rPr>
      <w:rFonts w:ascii="Tahoma" w:hAnsi="Tahoma"/>
      <w:sz w:val="24"/>
      <w:szCs w:val="20"/>
    </w:rPr>
  </w:style>
  <w:style w:type="paragraph" w:customStyle="1" w:styleId="410">
    <w:name w:val="Char Char Char Char Char Char1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11">
    <w:name w:val="Char2 Char Char Char Char Char Char Char Char2"/>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412">
    <w:name w:val="Char Char Char Char Char Char Char Char Char Char Char Char Char2"/>
    <w:basedOn w:val="1"/>
    <w:qFormat/>
    <w:uiPriority w:val="0"/>
    <w:pPr>
      <w:spacing w:line="360" w:lineRule="auto"/>
      <w:ind w:firstLine="200" w:firstLineChars="200"/>
    </w:pPr>
    <w:rPr>
      <w:rFonts w:ascii="宋体" w:hAnsi="宋体" w:cs="宋体"/>
      <w:sz w:val="24"/>
    </w:rPr>
  </w:style>
  <w:style w:type="character" w:customStyle="1" w:styleId="413">
    <w:name w:val="Char Char331"/>
    <w:qFormat/>
    <w:uiPriority w:val="0"/>
    <w:rPr>
      <w:rFonts w:eastAsia="宋体"/>
      <w:b/>
      <w:bCs/>
      <w:kern w:val="2"/>
      <w:sz w:val="28"/>
      <w:szCs w:val="28"/>
      <w:lang w:val="en-US" w:eastAsia="zh-CN" w:bidi="ar-SA"/>
    </w:rPr>
  </w:style>
  <w:style w:type="character" w:customStyle="1" w:styleId="414">
    <w:name w:val="font01"/>
    <w:qFormat/>
    <w:uiPriority w:val="0"/>
    <w:rPr>
      <w:rFonts w:hint="default" w:ascii="Times New Roman" w:hAnsi="Times New Roman" w:cs="Times New Roman"/>
      <w:b/>
      <w:bCs/>
      <w:color w:val="000000"/>
      <w:sz w:val="24"/>
      <w:szCs w:val="24"/>
      <w:u w:val="none"/>
    </w:rPr>
  </w:style>
  <w:style w:type="character" w:customStyle="1" w:styleId="415">
    <w:name w:val="font21"/>
    <w:qFormat/>
    <w:uiPriority w:val="0"/>
    <w:rPr>
      <w:rFonts w:hint="eastAsia" w:ascii="宋体" w:hAnsi="宋体" w:eastAsia="宋体"/>
      <w:b/>
      <w:bCs/>
      <w:color w:val="000000"/>
      <w:sz w:val="24"/>
      <w:szCs w:val="24"/>
      <w:u w:val="none"/>
    </w:rPr>
  </w:style>
  <w:style w:type="table" w:customStyle="1" w:styleId="416">
    <w:name w:val="网格型6"/>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17">
    <w:name w:val="Char Char"/>
    <w:qFormat/>
    <w:uiPriority w:val="0"/>
    <w:rPr>
      <w:rFonts w:ascii="宋体" w:hAnsi="宋体" w:eastAsia="仿宋_GB2312"/>
      <w:b/>
      <w:kern w:val="24"/>
      <w:sz w:val="28"/>
      <w:lang w:val="en-US" w:eastAsia="zh-CN" w:bidi="ar-SA"/>
    </w:rPr>
  </w:style>
  <w:style w:type="table" w:customStyle="1" w:styleId="418">
    <w:name w:val="列表型 7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419">
    <w:name w:val="表格主题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0">
    <w:name w:val="流行型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421">
    <w:name w:val="专业型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422">
    <w:name w:val="典雅型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423">
    <w:name w:val="网格型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4">
    <w:name w:val="网格型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5">
    <w:name w:val="网格型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6">
    <w:name w:val="网格型4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7">
    <w:name w:val="网格型5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8">
    <w:name w:val="sun1"/>
    <w:basedOn w:val="22"/>
    <w:qFormat/>
    <w:uiPriority w:val="0"/>
    <w:pPr>
      <w:widowControl/>
      <w:adjustRightInd w:val="0"/>
      <w:spacing w:line="312" w:lineRule="auto"/>
      <w:ind w:firstLine="0" w:firstLineChars="0"/>
      <w:textAlignment w:val="bottom"/>
    </w:pPr>
    <w:rPr>
      <w:rFonts w:eastAsia="楷体"/>
      <w:spacing w:val="20"/>
      <w:kern w:val="28"/>
      <w:sz w:val="28"/>
      <w:szCs w:val="20"/>
    </w:rPr>
  </w:style>
  <w:style w:type="character" w:customStyle="1" w:styleId="429">
    <w:name w:val="H1 Char Char Char"/>
    <w:qFormat/>
    <w:uiPriority w:val="0"/>
    <w:rPr>
      <w:rFonts w:ascii="黑体" w:hAnsi="宋体" w:eastAsia="黑体"/>
      <w:b/>
      <w:bCs/>
      <w:kern w:val="48"/>
      <w:sz w:val="32"/>
      <w:szCs w:val="30"/>
      <w:shd w:val="clear" w:color="auto" w:fill="FFFFFF"/>
      <w:lang w:val="en-US" w:eastAsia="zh-CN" w:bidi="ar-SA"/>
    </w:rPr>
  </w:style>
  <w:style w:type="table" w:customStyle="1" w:styleId="430">
    <w:name w:val="网格型7"/>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1">
    <w:name w:val="样式 样式 (中文) 仿宋_GB2312 小四 段前: 4.65 磅 段后: 4.65 磅 行距: 固定值 25 磅 + 首行缩..."/>
    <w:basedOn w:val="1"/>
    <w:qFormat/>
    <w:uiPriority w:val="0"/>
    <w:pPr>
      <w:spacing w:line="312" w:lineRule="auto"/>
      <w:ind w:firstLine="200" w:firstLineChars="200"/>
    </w:pPr>
    <w:rPr>
      <w:rFonts w:eastAsia="仿宋_GB2312" w:cs="宋体"/>
      <w:sz w:val="28"/>
      <w:szCs w:val="20"/>
    </w:rPr>
  </w:style>
  <w:style w:type="character" w:customStyle="1" w:styleId="432">
    <w:name w:val="样式 (西文) 仿宋_GB2312 (中文) 仿宋_GB2312 加粗"/>
    <w:qFormat/>
    <w:uiPriority w:val="0"/>
    <w:rPr>
      <w:rFonts w:ascii="仿宋_GB2312" w:hAnsi="仿宋_GB2312" w:eastAsia="宋体"/>
      <w:b/>
      <w:bCs/>
      <w:sz w:val="24"/>
    </w:rPr>
  </w:style>
  <w:style w:type="paragraph" w:customStyle="1" w:styleId="433">
    <w:name w:val="正文样式"/>
    <w:basedOn w:val="1"/>
    <w:link w:val="434"/>
    <w:qFormat/>
    <w:uiPriority w:val="0"/>
    <w:pPr>
      <w:snapToGrid w:val="0"/>
      <w:spacing w:line="300" w:lineRule="auto"/>
      <w:ind w:firstLine="560" w:firstLineChars="200"/>
    </w:pPr>
    <w:rPr>
      <w:rFonts w:ascii="仿宋_GB2312" w:eastAsia="仿宋_GB2312"/>
      <w:sz w:val="24"/>
      <w:szCs w:val="20"/>
    </w:rPr>
  </w:style>
  <w:style w:type="character" w:customStyle="1" w:styleId="434">
    <w:name w:val="正文样式 Char"/>
    <w:link w:val="433"/>
    <w:qFormat/>
    <w:uiPriority w:val="0"/>
    <w:rPr>
      <w:rFonts w:ascii="仿宋_GB2312" w:hAnsi="Times New Roman" w:eastAsia="仿宋_GB2312" w:cs="Times New Roman"/>
      <w:sz w:val="24"/>
      <w:szCs w:val="20"/>
    </w:rPr>
  </w:style>
  <w:style w:type="paragraph" w:customStyle="1" w:styleId="435">
    <w:name w:val="正文2010"/>
    <w:basedOn w:val="1"/>
    <w:link w:val="1073"/>
    <w:qFormat/>
    <w:uiPriority w:val="0"/>
    <w:pPr>
      <w:spacing w:beforeLines="30" w:afterLines="30" w:line="300" w:lineRule="auto"/>
      <w:ind w:firstLine="480" w:firstLineChars="200"/>
    </w:pPr>
    <w:rPr>
      <w:rFonts w:eastAsia="仿宋_GB2312" w:cs="宋体"/>
      <w:kern w:val="28"/>
      <w:sz w:val="24"/>
      <w:szCs w:val="20"/>
    </w:rPr>
  </w:style>
  <w:style w:type="paragraph" w:customStyle="1" w:styleId="43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仿宋_GB2312" w:hAnsi="宋体" w:eastAsia="仿宋_GB2312" w:cs="宋体"/>
      <w:kern w:val="0"/>
      <w:szCs w:val="21"/>
    </w:rPr>
  </w:style>
  <w:style w:type="paragraph" w:customStyle="1" w:styleId="43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仿宋_GB2312" w:hAnsi="宋体" w:eastAsia="仿宋_GB2312" w:cs="宋体"/>
      <w:kern w:val="0"/>
      <w:szCs w:val="21"/>
    </w:rPr>
  </w:style>
  <w:style w:type="paragraph" w:customStyle="1" w:styleId="438">
    <w:name w:val="Char Char Char Char Char Char Char Char Char Char Char Char Char Char Char Char Char Char Char Char Char1 Char Char Char"/>
    <w:basedOn w:val="1"/>
    <w:qFormat/>
    <w:uiPriority w:val="0"/>
    <w:pPr>
      <w:spacing w:line="312" w:lineRule="auto"/>
      <w:ind w:firstLine="482"/>
    </w:pPr>
    <w:rPr>
      <w:rFonts w:ascii="Tahoma" w:hAnsi="Tahoma"/>
      <w:sz w:val="24"/>
      <w:szCs w:val="20"/>
    </w:rPr>
  </w:style>
  <w:style w:type="paragraph" w:customStyle="1" w:styleId="439">
    <w:name w:val="正文 + 居中"/>
    <w:basedOn w:val="1"/>
    <w:qFormat/>
    <w:uiPriority w:val="0"/>
    <w:pPr>
      <w:adjustRightInd w:val="0"/>
      <w:snapToGrid w:val="0"/>
      <w:spacing w:beforeLines="25" w:afterLines="100" w:line="300" w:lineRule="auto"/>
      <w:ind w:firstLine="482"/>
      <w:jc w:val="center"/>
    </w:pPr>
    <w:rPr>
      <w:rFonts w:eastAsia="仿宋_GB2312"/>
      <w:kern w:val="28"/>
      <w:sz w:val="24"/>
      <w:szCs w:val="21"/>
    </w:rPr>
  </w:style>
  <w:style w:type="character" w:customStyle="1" w:styleId="440">
    <w:name w:val="标题1"/>
    <w:qFormat/>
    <w:uiPriority w:val="0"/>
  </w:style>
  <w:style w:type="character" w:customStyle="1" w:styleId="441">
    <w:name w:val="policymark"/>
    <w:qFormat/>
    <w:uiPriority w:val="0"/>
  </w:style>
  <w:style w:type="paragraph" w:customStyle="1" w:styleId="442">
    <w:name w:val="样式 样式 样式 样式 (中文) 仿宋_GB2312 小四 段前: 4.65 磅 段后: 4.65 磅 行距: 固定值 25 磅..."/>
    <w:basedOn w:val="1"/>
    <w:qFormat/>
    <w:uiPriority w:val="0"/>
    <w:pPr>
      <w:snapToGrid w:val="0"/>
      <w:spacing w:line="300" w:lineRule="auto"/>
      <w:ind w:firstLine="200" w:firstLineChars="200"/>
    </w:pPr>
    <w:rPr>
      <w:rFonts w:eastAsia="仿宋_GB2312" w:cs="宋体"/>
      <w:sz w:val="28"/>
      <w:szCs w:val="20"/>
    </w:rPr>
  </w:style>
  <w:style w:type="paragraph" w:customStyle="1" w:styleId="443">
    <w:name w:val="样式 样式 仿宋_GB2312 小四 行距: 多倍行距 1.25 字行 + 小四"/>
    <w:basedOn w:val="1"/>
    <w:qFormat/>
    <w:uiPriority w:val="0"/>
    <w:pPr>
      <w:spacing w:line="312" w:lineRule="auto"/>
      <w:ind w:firstLine="200" w:firstLineChars="200"/>
    </w:pPr>
    <w:rPr>
      <w:rFonts w:ascii="仿宋_GB2312" w:eastAsia="仿宋_GB2312" w:cs="宋体"/>
      <w:sz w:val="28"/>
      <w:szCs w:val="20"/>
    </w:rPr>
  </w:style>
  <w:style w:type="paragraph" w:customStyle="1" w:styleId="444">
    <w:name w:val="xl65"/>
    <w:basedOn w:val="1"/>
    <w:qFormat/>
    <w:uiPriority w:val="0"/>
    <w:pPr>
      <w:widowControl/>
      <w:spacing w:before="100" w:beforeAutospacing="1" w:after="100" w:afterAutospacing="1" w:line="312" w:lineRule="auto"/>
      <w:ind w:firstLine="482"/>
      <w:jc w:val="center"/>
    </w:pPr>
    <w:rPr>
      <w:rFonts w:ascii="宋体" w:hAnsi="宋体" w:cs="宋体"/>
      <w:kern w:val="0"/>
      <w:sz w:val="24"/>
    </w:rPr>
  </w:style>
  <w:style w:type="paragraph" w:customStyle="1" w:styleId="445">
    <w:name w:val="xl66"/>
    <w:basedOn w:val="1"/>
    <w:qFormat/>
    <w:uiPriority w:val="0"/>
    <w:pPr>
      <w:widowControl/>
      <w:spacing w:before="100" w:beforeAutospacing="1" w:after="100" w:afterAutospacing="1" w:line="312" w:lineRule="auto"/>
      <w:ind w:firstLine="482"/>
      <w:jc w:val="left"/>
    </w:pPr>
    <w:rPr>
      <w:rFonts w:ascii="宋体" w:hAnsi="宋体" w:cs="宋体"/>
      <w:kern w:val="0"/>
      <w:sz w:val="24"/>
    </w:rPr>
  </w:style>
  <w:style w:type="paragraph" w:customStyle="1" w:styleId="4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kern w:val="0"/>
      <w:sz w:val="24"/>
    </w:rPr>
  </w:style>
  <w:style w:type="paragraph" w:customStyle="1" w:styleId="44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b/>
      <w:bCs/>
      <w:kern w:val="0"/>
      <w:sz w:val="24"/>
    </w:rPr>
  </w:style>
  <w:style w:type="paragraph" w:customStyle="1" w:styleId="44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kern w:val="0"/>
      <w:sz w:val="18"/>
      <w:szCs w:val="18"/>
    </w:rPr>
  </w:style>
  <w:style w:type="paragraph" w:customStyle="1" w:styleId="449">
    <w:name w:val="xl34"/>
    <w:basedOn w:val="1"/>
    <w:qFormat/>
    <w:uiPriority w:val="0"/>
    <w:pPr>
      <w:widowControl/>
      <w:pBdr>
        <w:top w:val="single" w:color="auto" w:sz="4" w:space="0"/>
        <w:left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0">
    <w:name w:val="xl35"/>
    <w:basedOn w:val="1"/>
    <w:qFormat/>
    <w:uiPriority w:val="0"/>
    <w:pPr>
      <w:widowControl/>
      <w:pBdr>
        <w:top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1">
    <w:name w:val="xl36"/>
    <w:basedOn w:val="1"/>
    <w:qFormat/>
    <w:uiPriority w:val="0"/>
    <w:pPr>
      <w:widowControl/>
      <w:pBdr>
        <w:top w:val="single" w:color="auto" w:sz="4" w:space="0"/>
        <w:right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2">
    <w:name w:val="xl37"/>
    <w:basedOn w:val="1"/>
    <w:qFormat/>
    <w:uiPriority w:val="0"/>
    <w:pPr>
      <w:widowControl/>
      <w:pBdr>
        <w:left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3">
    <w:name w:val="xl38"/>
    <w:basedOn w:val="1"/>
    <w:qFormat/>
    <w:uiPriority w:val="0"/>
    <w:pPr>
      <w:widowControl/>
      <w:spacing w:before="100" w:beforeAutospacing="1" w:after="100" w:afterAutospacing="1" w:line="312" w:lineRule="auto"/>
      <w:ind w:firstLine="482"/>
      <w:jc w:val="center"/>
      <w:textAlignment w:val="top"/>
    </w:pPr>
    <w:rPr>
      <w:kern w:val="0"/>
      <w:szCs w:val="21"/>
    </w:rPr>
  </w:style>
  <w:style w:type="paragraph" w:customStyle="1" w:styleId="454">
    <w:name w:val="xl39"/>
    <w:basedOn w:val="1"/>
    <w:qFormat/>
    <w:uiPriority w:val="0"/>
    <w:pPr>
      <w:widowControl/>
      <w:pBdr>
        <w:right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5">
    <w:name w:val="xl41"/>
    <w:basedOn w:val="1"/>
    <w:qFormat/>
    <w:uiPriority w:val="0"/>
    <w:pPr>
      <w:widowControl/>
      <w:pBdr>
        <w:bottom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6">
    <w:name w:val="xl42"/>
    <w:basedOn w:val="1"/>
    <w:qFormat/>
    <w:uiPriority w:val="0"/>
    <w:pPr>
      <w:widowControl/>
      <w:pBdr>
        <w:bottom w:val="single" w:color="auto" w:sz="4" w:space="0"/>
        <w:right w:val="single" w:color="auto" w:sz="4" w:space="0"/>
      </w:pBdr>
      <w:spacing w:before="100" w:beforeAutospacing="1" w:after="100" w:afterAutospacing="1" w:line="312" w:lineRule="auto"/>
      <w:ind w:firstLine="482"/>
      <w:jc w:val="center"/>
      <w:textAlignment w:val="top"/>
    </w:pPr>
    <w:rPr>
      <w:kern w:val="0"/>
      <w:szCs w:val="21"/>
    </w:rPr>
  </w:style>
  <w:style w:type="paragraph" w:customStyle="1" w:styleId="457">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left"/>
    </w:pPr>
    <w:rPr>
      <w:rFonts w:ascii="宋体" w:hAnsi="宋体" w:cs="宋体"/>
      <w:kern w:val="0"/>
      <w:sz w:val="24"/>
    </w:rPr>
  </w:style>
  <w:style w:type="paragraph" w:customStyle="1" w:styleId="458">
    <w:name w:val="xl44"/>
    <w:basedOn w:val="1"/>
    <w:qFormat/>
    <w:uiPriority w:val="0"/>
    <w:pPr>
      <w:widowControl/>
      <w:pBdr>
        <w:left w:val="single" w:color="auto" w:sz="4" w:space="0"/>
        <w:bottom w:val="single" w:color="auto" w:sz="4" w:space="0"/>
      </w:pBdr>
      <w:spacing w:before="100" w:beforeAutospacing="1" w:after="100" w:afterAutospacing="1" w:line="312" w:lineRule="auto"/>
      <w:ind w:firstLine="482"/>
      <w:jc w:val="center"/>
      <w:textAlignment w:val="top"/>
    </w:pPr>
    <w:rPr>
      <w:rFonts w:ascii="宋体" w:hAnsi="宋体" w:cs="宋体"/>
      <w:kern w:val="0"/>
      <w:szCs w:val="21"/>
    </w:rPr>
  </w:style>
  <w:style w:type="paragraph" w:customStyle="1" w:styleId="459">
    <w:name w:val="xl45"/>
    <w:basedOn w:val="1"/>
    <w:qFormat/>
    <w:uiPriority w:val="0"/>
    <w:pPr>
      <w:widowControl/>
      <w:pBdr>
        <w:bottom w:val="single" w:color="auto" w:sz="4" w:space="0"/>
      </w:pBdr>
      <w:spacing w:before="100" w:beforeAutospacing="1" w:after="100" w:afterAutospacing="1" w:line="312" w:lineRule="auto"/>
      <w:ind w:firstLine="482"/>
      <w:jc w:val="center"/>
      <w:textAlignment w:val="top"/>
    </w:pPr>
    <w:rPr>
      <w:rFonts w:ascii="宋体" w:hAnsi="宋体" w:cs="宋体"/>
      <w:kern w:val="0"/>
      <w:szCs w:val="21"/>
    </w:rPr>
  </w:style>
  <w:style w:type="paragraph" w:customStyle="1" w:styleId="460">
    <w:name w:val="xl46"/>
    <w:basedOn w:val="1"/>
    <w:qFormat/>
    <w:uiPriority w:val="0"/>
    <w:pPr>
      <w:widowControl/>
      <w:pBdr>
        <w:top w:val="single" w:color="auto" w:sz="4" w:space="0"/>
        <w:left w:val="single" w:color="auto" w:sz="4" w:space="0"/>
        <w:bottom w:val="single" w:color="auto" w:sz="4" w:space="0"/>
      </w:pBdr>
      <w:spacing w:before="100" w:beforeAutospacing="1" w:after="100" w:afterAutospacing="1" w:line="312" w:lineRule="auto"/>
      <w:ind w:firstLine="482"/>
      <w:jc w:val="center"/>
      <w:textAlignment w:val="top"/>
    </w:pPr>
    <w:rPr>
      <w:rFonts w:ascii="宋体" w:hAnsi="宋体" w:cs="宋体"/>
      <w:kern w:val="0"/>
      <w:szCs w:val="21"/>
    </w:rPr>
  </w:style>
  <w:style w:type="paragraph" w:customStyle="1" w:styleId="461">
    <w:name w:val="xl47"/>
    <w:basedOn w:val="1"/>
    <w:qFormat/>
    <w:uiPriority w:val="0"/>
    <w:pPr>
      <w:widowControl/>
      <w:pBdr>
        <w:top w:val="single" w:color="auto" w:sz="4" w:space="0"/>
        <w:bottom w:val="single" w:color="auto" w:sz="4" w:space="0"/>
      </w:pBdr>
      <w:spacing w:before="100" w:beforeAutospacing="1" w:after="100" w:afterAutospacing="1" w:line="312" w:lineRule="auto"/>
      <w:ind w:firstLine="482"/>
      <w:jc w:val="center"/>
      <w:textAlignment w:val="top"/>
    </w:pPr>
    <w:rPr>
      <w:rFonts w:ascii="宋体" w:hAnsi="宋体" w:cs="宋体"/>
      <w:kern w:val="0"/>
      <w:szCs w:val="21"/>
    </w:rPr>
  </w:style>
  <w:style w:type="paragraph" w:customStyle="1" w:styleId="462">
    <w:name w:val="xl48"/>
    <w:basedOn w:val="1"/>
    <w:qFormat/>
    <w:uiPriority w:val="0"/>
    <w:pPr>
      <w:widowControl/>
      <w:pBdr>
        <w:top w:val="single" w:color="auto" w:sz="4" w:space="0"/>
        <w:bottom w:val="single" w:color="auto" w:sz="4" w:space="0"/>
        <w:right w:val="single" w:color="auto" w:sz="4" w:space="0"/>
      </w:pBdr>
      <w:spacing w:before="100" w:beforeAutospacing="1" w:after="100" w:afterAutospacing="1" w:line="312" w:lineRule="auto"/>
      <w:ind w:firstLine="482"/>
      <w:jc w:val="center"/>
      <w:textAlignment w:val="top"/>
    </w:pPr>
    <w:rPr>
      <w:rFonts w:ascii="宋体" w:hAnsi="宋体" w:cs="宋体"/>
      <w:kern w:val="0"/>
      <w:szCs w:val="21"/>
    </w:rPr>
  </w:style>
  <w:style w:type="paragraph" w:customStyle="1" w:styleId="46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b/>
      <w:bCs/>
      <w:kern w:val="0"/>
      <w:sz w:val="18"/>
      <w:szCs w:val="18"/>
    </w:rPr>
  </w:style>
  <w:style w:type="paragraph" w:customStyle="1" w:styleId="464">
    <w:name w:val="xl50"/>
    <w:basedOn w:val="1"/>
    <w:qFormat/>
    <w:uiPriority w:val="0"/>
    <w:pPr>
      <w:widowControl/>
      <w:pBdr>
        <w:top w:val="single" w:color="auto" w:sz="4" w:space="0"/>
        <w:right w:val="single" w:color="auto" w:sz="4" w:space="0"/>
      </w:pBdr>
      <w:spacing w:before="100" w:beforeAutospacing="1" w:after="100" w:afterAutospacing="1" w:line="312" w:lineRule="auto"/>
      <w:ind w:firstLine="482"/>
      <w:jc w:val="center"/>
      <w:textAlignment w:val="top"/>
    </w:pPr>
    <w:rPr>
      <w:rFonts w:ascii="宋体" w:hAnsi="宋体" w:cs="宋体"/>
      <w:b/>
      <w:bCs/>
      <w:kern w:val="0"/>
      <w:sz w:val="18"/>
      <w:szCs w:val="18"/>
    </w:rPr>
  </w:style>
  <w:style w:type="paragraph" w:customStyle="1" w:styleId="465">
    <w:name w:val="xl51"/>
    <w:basedOn w:val="1"/>
    <w:qFormat/>
    <w:uiPriority w:val="0"/>
    <w:pPr>
      <w:widowControl/>
      <w:pBdr>
        <w:right w:val="single" w:color="auto" w:sz="4" w:space="0"/>
      </w:pBdr>
      <w:spacing w:before="100" w:beforeAutospacing="1" w:after="100" w:afterAutospacing="1" w:line="312" w:lineRule="auto"/>
      <w:ind w:firstLine="482"/>
      <w:jc w:val="center"/>
      <w:textAlignment w:val="top"/>
    </w:pPr>
    <w:rPr>
      <w:rFonts w:ascii="宋体" w:hAnsi="宋体" w:cs="宋体"/>
      <w:b/>
      <w:bCs/>
      <w:kern w:val="0"/>
      <w:sz w:val="18"/>
      <w:szCs w:val="18"/>
    </w:rPr>
  </w:style>
  <w:style w:type="paragraph" w:customStyle="1" w:styleId="466">
    <w:name w:val="xl52"/>
    <w:basedOn w:val="1"/>
    <w:qFormat/>
    <w:uiPriority w:val="0"/>
    <w:pPr>
      <w:widowControl/>
      <w:pBdr>
        <w:bottom w:val="single" w:color="auto" w:sz="4" w:space="0"/>
        <w:right w:val="single" w:color="auto" w:sz="4" w:space="0"/>
      </w:pBdr>
      <w:spacing w:before="100" w:beforeAutospacing="1" w:after="100" w:afterAutospacing="1" w:line="312" w:lineRule="auto"/>
      <w:ind w:firstLine="482"/>
      <w:jc w:val="center"/>
      <w:textAlignment w:val="top"/>
    </w:pPr>
    <w:rPr>
      <w:rFonts w:ascii="宋体" w:hAnsi="宋体" w:cs="宋体"/>
      <w:b/>
      <w:bCs/>
      <w:kern w:val="0"/>
      <w:sz w:val="18"/>
      <w:szCs w:val="18"/>
    </w:rPr>
  </w:style>
  <w:style w:type="paragraph" w:customStyle="1" w:styleId="467">
    <w:name w:val="Char Char Char Char Char1 Char Char Char Char Char Char Char"/>
    <w:basedOn w:val="1"/>
    <w:qFormat/>
    <w:uiPriority w:val="0"/>
    <w:pPr>
      <w:spacing w:line="312" w:lineRule="auto"/>
      <w:ind w:firstLine="482"/>
    </w:pPr>
  </w:style>
  <w:style w:type="paragraph" w:customStyle="1" w:styleId="468">
    <w:name w:val="font7"/>
    <w:basedOn w:val="1"/>
    <w:qFormat/>
    <w:uiPriority w:val="0"/>
    <w:pPr>
      <w:widowControl/>
      <w:spacing w:before="100" w:beforeAutospacing="1" w:after="100" w:afterAutospacing="1" w:line="312" w:lineRule="auto"/>
      <w:ind w:firstLine="482"/>
      <w:jc w:val="left"/>
    </w:pPr>
    <w:rPr>
      <w:rFonts w:ascii="宋体" w:hAnsi="宋体" w:cs="宋体"/>
      <w:kern w:val="0"/>
      <w:sz w:val="18"/>
      <w:szCs w:val="18"/>
    </w:rPr>
  </w:style>
  <w:style w:type="paragraph" w:customStyle="1" w:styleId="469">
    <w:name w:val="xl64"/>
    <w:basedOn w:val="1"/>
    <w:qFormat/>
    <w:uiPriority w:val="0"/>
    <w:pPr>
      <w:widowControl/>
      <w:spacing w:before="100" w:beforeAutospacing="1" w:after="100" w:afterAutospacing="1" w:line="312" w:lineRule="auto"/>
      <w:ind w:firstLine="482"/>
      <w:jc w:val="center"/>
    </w:pPr>
    <w:rPr>
      <w:rFonts w:ascii="宋体" w:hAnsi="宋体" w:cs="宋体"/>
      <w:b/>
      <w:bCs/>
      <w:kern w:val="0"/>
      <w:sz w:val="18"/>
      <w:szCs w:val="18"/>
    </w:rPr>
  </w:style>
  <w:style w:type="paragraph" w:customStyle="1" w:styleId="470">
    <w:name w:val="xl69"/>
    <w:basedOn w:val="1"/>
    <w:qFormat/>
    <w:uiPriority w:val="0"/>
    <w:pPr>
      <w:widowControl/>
      <w:spacing w:before="100" w:beforeAutospacing="1" w:after="100" w:afterAutospacing="1" w:line="312" w:lineRule="auto"/>
      <w:ind w:firstLine="482"/>
      <w:jc w:val="left"/>
      <w:textAlignment w:val="bottom"/>
    </w:pPr>
    <w:rPr>
      <w:rFonts w:ascii="宋体" w:hAnsi="宋体" w:cs="宋体"/>
      <w:kern w:val="0"/>
      <w:sz w:val="18"/>
      <w:szCs w:val="18"/>
    </w:rPr>
  </w:style>
  <w:style w:type="paragraph" w:customStyle="1" w:styleId="47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b/>
      <w:bCs/>
      <w:kern w:val="0"/>
      <w:sz w:val="18"/>
      <w:szCs w:val="18"/>
    </w:rPr>
  </w:style>
  <w:style w:type="paragraph" w:customStyle="1" w:styleId="47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b/>
      <w:bCs/>
      <w:kern w:val="0"/>
      <w:sz w:val="18"/>
      <w:szCs w:val="18"/>
    </w:rPr>
  </w:style>
  <w:style w:type="paragraph" w:customStyle="1" w:styleId="47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b/>
      <w:bCs/>
      <w:kern w:val="0"/>
      <w:sz w:val="18"/>
      <w:szCs w:val="18"/>
    </w:rPr>
  </w:style>
  <w:style w:type="paragraph" w:customStyle="1" w:styleId="47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kern w:val="0"/>
      <w:sz w:val="18"/>
      <w:szCs w:val="18"/>
    </w:rPr>
  </w:style>
  <w:style w:type="paragraph" w:customStyle="1" w:styleId="47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pPr>
    <w:rPr>
      <w:rFonts w:ascii="宋体" w:hAnsi="宋体" w:cs="宋体"/>
      <w:kern w:val="0"/>
      <w:sz w:val="18"/>
      <w:szCs w:val="18"/>
    </w:rPr>
  </w:style>
  <w:style w:type="paragraph" w:customStyle="1" w:styleId="476">
    <w:name w:val="xl75"/>
    <w:basedOn w:val="1"/>
    <w:qFormat/>
    <w:uiPriority w:val="0"/>
    <w:pPr>
      <w:widowControl/>
      <w:pBdr>
        <w:top w:val="single" w:color="auto" w:sz="4" w:space="0"/>
        <w:left w:val="single" w:color="auto" w:sz="4" w:space="0"/>
      </w:pBdr>
      <w:spacing w:before="100" w:beforeAutospacing="1" w:after="100" w:afterAutospacing="1" w:line="312" w:lineRule="auto"/>
      <w:ind w:firstLine="482"/>
      <w:jc w:val="left"/>
    </w:pPr>
    <w:rPr>
      <w:rFonts w:ascii="宋体" w:hAnsi="宋体" w:cs="宋体"/>
      <w:kern w:val="0"/>
      <w:sz w:val="18"/>
      <w:szCs w:val="18"/>
    </w:rPr>
  </w:style>
  <w:style w:type="paragraph" w:customStyle="1" w:styleId="477">
    <w:name w:val="xl76"/>
    <w:basedOn w:val="1"/>
    <w:qFormat/>
    <w:uiPriority w:val="0"/>
    <w:pPr>
      <w:widowControl/>
      <w:pBdr>
        <w:top w:val="single" w:color="auto" w:sz="4" w:space="0"/>
      </w:pBdr>
      <w:spacing w:before="100" w:beforeAutospacing="1" w:after="100" w:afterAutospacing="1" w:line="312" w:lineRule="auto"/>
      <w:ind w:firstLine="482"/>
      <w:jc w:val="left"/>
    </w:pPr>
    <w:rPr>
      <w:rFonts w:ascii="宋体" w:hAnsi="宋体" w:cs="宋体"/>
      <w:kern w:val="0"/>
      <w:sz w:val="18"/>
      <w:szCs w:val="18"/>
    </w:rPr>
  </w:style>
  <w:style w:type="paragraph" w:customStyle="1" w:styleId="478">
    <w:name w:val="xl7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b/>
      <w:bCs/>
      <w:color w:val="000000"/>
      <w:kern w:val="0"/>
      <w:sz w:val="20"/>
      <w:szCs w:val="20"/>
    </w:rPr>
  </w:style>
  <w:style w:type="paragraph" w:customStyle="1" w:styleId="479">
    <w:name w:val="xl7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b/>
      <w:bCs/>
      <w:color w:val="000000"/>
      <w:kern w:val="0"/>
      <w:sz w:val="20"/>
      <w:szCs w:val="20"/>
    </w:rPr>
  </w:style>
  <w:style w:type="paragraph" w:customStyle="1" w:styleId="480">
    <w:name w:val="xl7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b/>
      <w:bCs/>
      <w:color w:val="000000"/>
      <w:kern w:val="0"/>
      <w:sz w:val="20"/>
      <w:szCs w:val="20"/>
    </w:rPr>
  </w:style>
  <w:style w:type="paragraph" w:customStyle="1" w:styleId="481">
    <w:name w:val="xl779"/>
    <w:basedOn w:val="1"/>
    <w:qFormat/>
    <w:uiPriority w:val="0"/>
    <w:pPr>
      <w:widowControl/>
      <w:spacing w:before="100" w:beforeAutospacing="1" w:after="100" w:afterAutospacing="1" w:line="312" w:lineRule="auto"/>
      <w:ind w:firstLine="482"/>
      <w:jc w:val="center"/>
      <w:textAlignment w:val="center"/>
    </w:pPr>
    <w:rPr>
      <w:rFonts w:ascii="宋体" w:hAnsi="宋体" w:cs="宋体"/>
      <w:kern w:val="0"/>
      <w:sz w:val="20"/>
      <w:szCs w:val="20"/>
    </w:rPr>
  </w:style>
  <w:style w:type="paragraph" w:customStyle="1" w:styleId="482">
    <w:name w:val="xl7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kern w:val="0"/>
      <w:sz w:val="20"/>
      <w:szCs w:val="20"/>
    </w:rPr>
  </w:style>
  <w:style w:type="paragraph" w:customStyle="1" w:styleId="483">
    <w:name w:val="xl7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kern w:val="0"/>
      <w:sz w:val="20"/>
      <w:szCs w:val="20"/>
    </w:rPr>
  </w:style>
  <w:style w:type="paragraph" w:customStyle="1" w:styleId="484">
    <w:name w:val="xl782"/>
    <w:basedOn w:val="1"/>
    <w:qFormat/>
    <w:uiPriority w:val="0"/>
    <w:pPr>
      <w:widowControl/>
      <w:spacing w:before="100" w:beforeAutospacing="1" w:after="100" w:afterAutospacing="1" w:line="312" w:lineRule="auto"/>
      <w:ind w:firstLine="482"/>
      <w:jc w:val="center"/>
      <w:textAlignment w:val="center"/>
    </w:pPr>
    <w:rPr>
      <w:rFonts w:ascii="宋体" w:hAnsi="宋体" w:cs="宋体"/>
      <w:kern w:val="0"/>
      <w:sz w:val="24"/>
    </w:rPr>
  </w:style>
  <w:style w:type="paragraph" w:customStyle="1" w:styleId="485">
    <w:name w:val="xl7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color w:val="000000"/>
      <w:kern w:val="0"/>
      <w:sz w:val="18"/>
      <w:szCs w:val="18"/>
    </w:rPr>
  </w:style>
  <w:style w:type="paragraph" w:customStyle="1" w:styleId="486">
    <w:name w:val="xl784"/>
    <w:basedOn w:val="1"/>
    <w:qFormat/>
    <w:uiPriority w:val="0"/>
    <w:pPr>
      <w:widowControl/>
      <w:pBdr>
        <w:top w:val="single" w:color="auto" w:sz="4" w:space="0"/>
        <w:left w:val="single" w:color="auto" w:sz="4" w:space="0"/>
        <w:bottom w:val="single" w:color="auto" w:sz="4" w:space="0"/>
      </w:pBdr>
      <w:spacing w:before="100" w:beforeAutospacing="1" w:after="100" w:afterAutospacing="1" w:line="312" w:lineRule="auto"/>
      <w:ind w:firstLine="482"/>
      <w:jc w:val="center"/>
      <w:textAlignment w:val="center"/>
    </w:pPr>
    <w:rPr>
      <w:rFonts w:ascii="宋体" w:hAnsi="宋体" w:cs="宋体"/>
      <w:color w:val="000000"/>
      <w:kern w:val="0"/>
      <w:sz w:val="18"/>
      <w:szCs w:val="18"/>
    </w:rPr>
  </w:style>
  <w:style w:type="paragraph" w:customStyle="1" w:styleId="487">
    <w:name w:val="xl7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482"/>
      <w:jc w:val="center"/>
      <w:textAlignment w:val="center"/>
    </w:pPr>
    <w:rPr>
      <w:rFonts w:ascii="宋体" w:hAnsi="宋体" w:cs="宋体"/>
      <w:color w:val="000000"/>
      <w:kern w:val="0"/>
      <w:sz w:val="18"/>
      <w:szCs w:val="18"/>
    </w:rPr>
  </w:style>
  <w:style w:type="paragraph" w:customStyle="1" w:styleId="488">
    <w:name w:val="xl786"/>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line="312" w:lineRule="auto"/>
      <w:ind w:firstLine="482"/>
      <w:jc w:val="center"/>
    </w:pPr>
    <w:rPr>
      <w:rFonts w:ascii="宋体" w:hAnsi="宋体" w:cs="宋体"/>
      <w:b/>
      <w:bCs/>
      <w:color w:val="000000"/>
      <w:kern w:val="0"/>
      <w:sz w:val="18"/>
      <w:szCs w:val="18"/>
    </w:rPr>
  </w:style>
  <w:style w:type="paragraph" w:customStyle="1" w:styleId="489">
    <w:name w:val="xl787"/>
    <w:basedOn w:val="1"/>
    <w:qFormat/>
    <w:uiPriority w:val="0"/>
    <w:pPr>
      <w:widowControl/>
      <w:pBdr>
        <w:bottom w:val="single" w:color="auto" w:sz="8" w:space="0"/>
        <w:right w:val="single" w:color="auto" w:sz="8" w:space="0"/>
      </w:pBdr>
      <w:shd w:val="clear" w:color="000000" w:fill="FFFFFF"/>
      <w:spacing w:before="100" w:beforeAutospacing="1" w:after="100" w:afterAutospacing="1" w:line="312" w:lineRule="auto"/>
      <w:ind w:firstLine="482"/>
      <w:jc w:val="center"/>
    </w:pPr>
    <w:rPr>
      <w:rFonts w:ascii="宋体" w:hAnsi="宋体" w:cs="宋体"/>
      <w:b/>
      <w:bCs/>
      <w:color w:val="000000"/>
      <w:kern w:val="0"/>
      <w:sz w:val="18"/>
      <w:szCs w:val="18"/>
    </w:rPr>
  </w:style>
  <w:style w:type="paragraph" w:styleId="490">
    <w:name w:val="No Spacing"/>
    <w:link w:val="491"/>
    <w:qFormat/>
    <w:uiPriority w:val="1"/>
    <w:pPr>
      <w:widowControl w:val="0"/>
      <w:spacing w:line="312" w:lineRule="auto"/>
      <w:ind w:firstLine="200" w:firstLineChars="200"/>
      <w:jc w:val="both"/>
    </w:pPr>
    <w:rPr>
      <w:rFonts w:ascii="Calibri" w:hAnsi="Calibri" w:eastAsia="宋体" w:cs="Times New Roman"/>
      <w:kern w:val="2"/>
      <w:sz w:val="24"/>
      <w:szCs w:val="22"/>
      <w:lang w:val="en-US" w:eastAsia="zh-CN" w:bidi="ar-SA"/>
    </w:rPr>
  </w:style>
  <w:style w:type="character" w:customStyle="1" w:styleId="491">
    <w:name w:val="无间隔 字符"/>
    <w:basedOn w:val="96"/>
    <w:link w:val="490"/>
    <w:qFormat/>
    <w:uiPriority w:val="1"/>
    <w:rPr>
      <w:rFonts w:ascii="Calibri" w:hAnsi="Calibri" w:eastAsia="宋体" w:cs="Times New Roman"/>
      <w:sz w:val="24"/>
    </w:rPr>
  </w:style>
  <w:style w:type="paragraph" w:customStyle="1" w:styleId="492">
    <w:name w:val="pic-info"/>
    <w:basedOn w:val="1"/>
    <w:qFormat/>
    <w:uiPriority w:val="0"/>
    <w:pPr>
      <w:widowControl/>
      <w:spacing w:before="100" w:beforeAutospacing="1" w:after="100" w:afterAutospacing="1" w:line="312" w:lineRule="auto"/>
      <w:ind w:firstLine="482"/>
      <w:jc w:val="left"/>
    </w:pPr>
    <w:rPr>
      <w:rFonts w:ascii="宋体" w:hAnsi="宋体" w:cs="宋体"/>
      <w:kern w:val="0"/>
      <w:sz w:val="24"/>
    </w:rPr>
  </w:style>
  <w:style w:type="paragraph" w:customStyle="1" w:styleId="493">
    <w:name w:val="font8"/>
    <w:basedOn w:val="1"/>
    <w:qFormat/>
    <w:uiPriority w:val="0"/>
    <w:pPr>
      <w:widowControl/>
      <w:spacing w:before="100" w:beforeAutospacing="1" w:after="100" w:afterAutospacing="1" w:line="240" w:lineRule="auto"/>
      <w:jc w:val="left"/>
    </w:pPr>
    <w:rPr>
      <w:rFonts w:ascii="宋体" w:hAnsi="宋体" w:cs="宋体"/>
      <w:color w:val="000000"/>
      <w:kern w:val="0"/>
      <w:szCs w:val="21"/>
    </w:rPr>
  </w:style>
  <w:style w:type="paragraph" w:customStyle="1" w:styleId="494">
    <w:name w:val="font9"/>
    <w:basedOn w:val="1"/>
    <w:qFormat/>
    <w:uiPriority w:val="0"/>
    <w:pPr>
      <w:widowControl/>
      <w:spacing w:before="100" w:beforeAutospacing="1" w:after="100" w:afterAutospacing="1" w:line="240" w:lineRule="auto"/>
      <w:jc w:val="left"/>
    </w:pPr>
    <w:rPr>
      <w:rFonts w:ascii="仿宋_GB2312" w:hAnsi="宋体" w:eastAsia="仿宋_GB2312" w:cs="宋体"/>
      <w:color w:val="000000"/>
      <w:kern w:val="0"/>
      <w:szCs w:val="21"/>
    </w:rPr>
  </w:style>
  <w:style w:type="paragraph" w:customStyle="1" w:styleId="495">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b/>
      <w:bCs/>
      <w:kern w:val="0"/>
      <w:sz w:val="20"/>
      <w:szCs w:val="20"/>
    </w:rPr>
  </w:style>
  <w:style w:type="character" w:customStyle="1" w:styleId="496">
    <w:name w:val="cp"/>
    <w:qFormat/>
    <w:uiPriority w:val="0"/>
  </w:style>
  <w:style w:type="character" w:customStyle="1" w:styleId="497">
    <w:name w:val="标题 4 Char Char"/>
    <w:qFormat/>
    <w:uiPriority w:val="0"/>
    <w:rPr>
      <w:rFonts w:ascii="Arial" w:hAnsi="Arial" w:eastAsia="仿宋_GB2312"/>
      <w:b/>
      <w:bCs/>
      <w:kern w:val="28"/>
      <w:sz w:val="28"/>
      <w:szCs w:val="28"/>
      <w:lang w:val="en-US" w:eastAsia="zh-CN" w:bidi="ar-SA"/>
    </w:rPr>
  </w:style>
  <w:style w:type="paragraph" w:customStyle="1" w:styleId="498">
    <w:name w:val="Char Char Char Char Char Char Char Char Char Char Char Char Char Char Char Char Char Char Char Char Char Char Char Char Char Char Char Char Char Char Char Char Char Char"/>
    <w:basedOn w:val="1"/>
    <w:qFormat/>
    <w:uiPriority w:val="0"/>
    <w:pPr>
      <w:spacing w:line="240" w:lineRule="auto"/>
    </w:pPr>
    <w:rPr>
      <w:rFonts w:ascii="Tahoma" w:hAnsi="Tahoma"/>
      <w:sz w:val="24"/>
      <w:szCs w:val="20"/>
    </w:rPr>
  </w:style>
  <w:style w:type="paragraph" w:customStyle="1" w:styleId="499">
    <w:name w:val="样式66"/>
    <w:basedOn w:val="1"/>
    <w:qFormat/>
    <w:uiPriority w:val="0"/>
    <w:pPr>
      <w:spacing w:beforeLines="100" w:afterLines="50" w:line="240" w:lineRule="auto"/>
      <w:jc w:val="center"/>
    </w:pPr>
    <w:rPr>
      <w:rFonts w:eastAsia="仿宋_GB2312"/>
      <w:b/>
      <w:sz w:val="24"/>
    </w:rPr>
  </w:style>
  <w:style w:type="character" w:customStyle="1" w:styleId="500">
    <w:name w:val="Char Char7"/>
    <w:qFormat/>
    <w:uiPriority w:val="0"/>
  </w:style>
  <w:style w:type="character" w:customStyle="1" w:styleId="501">
    <w:name w:val="标题 5 Char Char"/>
    <w:qFormat/>
    <w:uiPriority w:val="0"/>
    <w:rPr>
      <w:rFonts w:ascii="宋体" w:hAnsi="宋体" w:eastAsia="仿宋_GB2312"/>
      <w:b/>
      <w:kern w:val="24"/>
      <w:sz w:val="24"/>
      <w:lang w:val="en-US" w:eastAsia="zh-CN" w:bidi="ar-SA"/>
    </w:rPr>
  </w:style>
  <w:style w:type="character" w:customStyle="1" w:styleId="502">
    <w:name w:val="Char Char6"/>
    <w:qFormat/>
    <w:uiPriority w:val="0"/>
    <w:rPr>
      <w:rFonts w:ascii="黑体" w:hAnsi="Arial" w:eastAsia="黑体"/>
      <w:b/>
      <w:bCs/>
      <w:kern w:val="48"/>
      <w:sz w:val="28"/>
      <w:szCs w:val="32"/>
    </w:rPr>
  </w:style>
  <w:style w:type="character" w:customStyle="1" w:styleId="503">
    <w:name w:val="digest1"/>
    <w:qFormat/>
    <w:uiPriority w:val="0"/>
    <w:rPr>
      <w:color w:val="3A4343"/>
      <w:sz w:val="20"/>
      <w:szCs w:val="20"/>
    </w:rPr>
  </w:style>
  <w:style w:type="character" w:customStyle="1" w:styleId="504">
    <w:name w:val="Char Char5"/>
    <w:qFormat/>
    <w:uiPriority w:val="0"/>
    <w:rPr>
      <w:rFonts w:ascii="仿宋_GB2312" w:eastAsia="仿宋_GB2312"/>
      <w:b/>
      <w:bCs/>
      <w:kern w:val="44"/>
      <w:sz w:val="24"/>
      <w:szCs w:val="30"/>
      <w:lang w:val="en-US" w:eastAsia="zh-CN" w:bidi="ar-SA"/>
    </w:rPr>
  </w:style>
  <w:style w:type="character" w:customStyle="1" w:styleId="505">
    <w:name w:val="jianju1"/>
    <w:qFormat/>
    <w:uiPriority w:val="0"/>
    <w:rPr>
      <w:color w:val="000000"/>
      <w:sz w:val="20"/>
      <w:szCs w:val="20"/>
      <w:u w:val="none"/>
    </w:rPr>
  </w:style>
  <w:style w:type="paragraph" w:customStyle="1" w:styleId="506">
    <w:name w:val="MTDisplayEquation"/>
    <w:basedOn w:val="1"/>
    <w:next w:val="1"/>
    <w:link w:val="953"/>
    <w:qFormat/>
    <w:uiPriority w:val="0"/>
    <w:pPr>
      <w:tabs>
        <w:tab w:val="center" w:pos="4160"/>
        <w:tab w:val="right" w:pos="8300"/>
      </w:tabs>
      <w:spacing w:line="240" w:lineRule="auto"/>
    </w:pPr>
    <w:rPr>
      <w:rFonts w:ascii="仿宋_GB2312" w:eastAsia="仿宋_GB2312"/>
      <w:sz w:val="24"/>
    </w:rPr>
  </w:style>
  <w:style w:type="character" w:customStyle="1" w:styleId="507">
    <w:name w:val="H1 Char3"/>
    <w:qFormat/>
    <w:uiPriority w:val="0"/>
    <w:rPr>
      <w:rFonts w:ascii="仿宋_GB2312" w:eastAsia="仿宋_GB2312"/>
      <w:b/>
      <w:bCs/>
      <w:kern w:val="48"/>
      <w:sz w:val="30"/>
      <w:szCs w:val="30"/>
      <w:lang w:val="en-US" w:eastAsia="zh-CN" w:bidi="ar-SA"/>
    </w:rPr>
  </w:style>
  <w:style w:type="character" w:customStyle="1" w:styleId="508">
    <w:name w:val="Char Char9"/>
    <w:qFormat/>
    <w:uiPriority w:val="0"/>
    <w:rPr>
      <w:rFonts w:ascii="Arial" w:hAnsi="Arial" w:eastAsia="黑体"/>
      <w:b/>
      <w:bCs/>
      <w:kern w:val="28"/>
      <w:sz w:val="28"/>
      <w:szCs w:val="28"/>
      <w:lang w:val="en-US" w:eastAsia="zh-CN" w:bidi="ar-SA"/>
    </w:rPr>
  </w:style>
  <w:style w:type="character" w:customStyle="1" w:styleId="509">
    <w:name w:val="Char Char8"/>
    <w:qFormat/>
    <w:uiPriority w:val="0"/>
    <w:rPr>
      <w:rFonts w:ascii="宋体" w:hAnsi="宋体" w:eastAsia="仿宋_GB2312"/>
      <w:b/>
      <w:kern w:val="24"/>
      <w:sz w:val="28"/>
      <w:lang w:val="en-US" w:eastAsia="zh-CN" w:bidi="ar-SA"/>
    </w:rPr>
  </w:style>
  <w:style w:type="paragraph" w:customStyle="1" w:styleId="510">
    <w:name w:val="xl11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b/>
      <w:bCs/>
      <w:kern w:val="0"/>
      <w:sz w:val="20"/>
      <w:szCs w:val="20"/>
    </w:rPr>
  </w:style>
  <w:style w:type="paragraph" w:customStyle="1" w:styleId="511">
    <w:name w:val="xl1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2">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3">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4">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5">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6">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517">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8">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paragraph" w:customStyle="1" w:styleId="519">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kern w:val="0"/>
      <w:sz w:val="20"/>
      <w:szCs w:val="20"/>
    </w:rPr>
  </w:style>
  <w:style w:type="paragraph" w:customStyle="1" w:styleId="520">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cs="宋体"/>
      <w:kern w:val="0"/>
      <w:sz w:val="20"/>
      <w:szCs w:val="20"/>
    </w:rPr>
  </w:style>
  <w:style w:type="character" w:customStyle="1" w:styleId="521">
    <w:name w:val="书籍标题1"/>
    <w:qFormat/>
    <w:uiPriority w:val="33"/>
    <w:rPr>
      <w:b/>
      <w:bCs/>
      <w:smallCaps/>
      <w:spacing w:val="5"/>
    </w:rPr>
  </w:style>
  <w:style w:type="paragraph" w:customStyle="1" w:styleId="522">
    <w:name w:val="正文1"/>
    <w:basedOn w:val="1"/>
    <w:next w:val="1"/>
    <w:qFormat/>
    <w:uiPriority w:val="0"/>
    <w:pPr>
      <w:autoSpaceDE w:val="0"/>
      <w:autoSpaceDN w:val="0"/>
      <w:adjustRightInd w:val="0"/>
      <w:spacing w:line="240" w:lineRule="auto"/>
      <w:jc w:val="left"/>
    </w:pPr>
    <w:rPr>
      <w:rFonts w:ascii="仿宋_GB2312" w:eastAsia="仿宋_GB2312"/>
      <w:kern w:val="0"/>
      <w:sz w:val="24"/>
    </w:rPr>
  </w:style>
  <w:style w:type="paragraph" w:customStyle="1" w:styleId="523">
    <w:name w:val="4"/>
    <w:basedOn w:val="1"/>
    <w:qFormat/>
    <w:uiPriority w:val="0"/>
    <w:pPr>
      <w:widowControl/>
      <w:spacing w:before="100" w:beforeAutospacing="1" w:after="100" w:afterAutospacing="1" w:line="240" w:lineRule="auto"/>
      <w:jc w:val="left"/>
    </w:pPr>
    <w:rPr>
      <w:rFonts w:ascii="宋体" w:hAnsi="宋体" w:cs="宋体"/>
      <w:kern w:val="0"/>
      <w:sz w:val="24"/>
    </w:rPr>
  </w:style>
  <w:style w:type="table" w:customStyle="1" w:styleId="524">
    <w:name w:val="网格型8"/>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5">
    <w:name w:val="网格型9"/>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网格型10"/>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7">
    <w:name w:val="列出段落1"/>
    <w:basedOn w:val="1"/>
    <w:qFormat/>
    <w:uiPriority w:val="34"/>
    <w:pPr>
      <w:spacing w:line="240" w:lineRule="auto"/>
      <w:ind w:firstLine="420" w:firstLineChars="200"/>
    </w:pPr>
    <w:rPr>
      <w:rFonts w:ascii="Calibri" w:hAnsi="Calibri"/>
      <w:szCs w:val="22"/>
    </w:rPr>
  </w:style>
  <w:style w:type="paragraph" w:customStyle="1" w:styleId="528">
    <w:name w:val="修订111"/>
    <w:hidden/>
    <w:qFormat/>
    <w:uiPriority w:val="99"/>
    <w:rPr>
      <w:rFonts w:ascii="Times New Roman" w:hAnsi="Times New Roman" w:eastAsia="宋体" w:cs="Times New Roman"/>
      <w:kern w:val="2"/>
      <w:sz w:val="21"/>
      <w:szCs w:val="24"/>
      <w:lang w:val="en-US" w:eastAsia="zh-CN" w:bidi="ar-SA"/>
    </w:rPr>
  </w:style>
  <w:style w:type="paragraph" w:customStyle="1" w:styleId="529">
    <w:name w:val="TOC 标题11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530">
    <w:name w:val="Char Char23 Char Char Char Char"/>
    <w:basedOn w:val="1"/>
    <w:qFormat/>
    <w:uiPriority w:val="0"/>
    <w:pPr>
      <w:adjustRightInd w:val="0"/>
      <w:snapToGrid w:val="0"/>
      <w:spacing w:line="380" w:lineRule="exact"/>
    </w:pPr>
    <w:rPr>
      <w:sz w:val="24"/>
      <w:szCs w:val="20"/>
    </w:rPr>
  </w:style>
  <w:style w:type="character" w:customStyle="1" w:styleId="531">
    <w:name w:val="占位符文本1"/>
    <w:qFormat/>
    <w:uiPriority w:val="99"/>
    <w:rPr>
      <w:color w:val="808080"/>
    </w:rPr>
  </w:style>
  <w:style w:type="table" w:customStyle="1" w:styleId="532">
    <w:name w:val="网格型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3">
    <w:name w:val="z-窗体顶端 字符"/>
    <w:basedOn w:val="96"/>
    <w:link w:val="534"/>
    <w:qFormat/>
    <w:uiPriority w:val="99"/>
    <w:rPr>
      <w:rFonts w:ascii="Arial" w:hAnsi="Arial" w:cs="Arial"/>
      <w:vanish/>
      <w:sz w:val="16"/>
      <w:szCs w:val="16"/>
    </w:rPr>
  </w:style>
  <w:style w:type="paragraph" w:customStyle="1" w:styleId="534">
    <w:name w:val="z-窗体顶端1"/>
    <w:basedOn w:val="1"/>
    <w:next w:val="1"/>
    <w:link w:val="533"/>
    <w:unhideWhenUsed/>
    <w:qFormat/>
    <w:uiPriority w:val="99"/>
    <w:pPr>
      <w:widowControl/>
      <w:pBdr>
        <w:bottom w:val="single" w:color="auto" w:sz="6" w:space="1"/>
      </w:pBdr>
      <w:spacing w:line="240" w:lineRule="auto"/>
      <w:jc w:val="center"/>
    </w:pPr>
    <w:rPr>
      <w:rFonts w:ascii="Arial" w:hAnsi="Arial" w:cs="Arial" w:eastAsiaTheme="minorEastAsia"/>
      <w:vanish/>
      <w:sz w:val="16"/>
      <w:szCs w:val="16"/>
    </w:rPr>
  </w:style>
  <w:style w:type="character" w:customStyle="1" w:styleId="535">
    <w:name w:val="z-窗体顶端 Char1"/>
    <w:basedOn w:val="96"/>
    <w:qFormat/>
    <w:uiPriority w:val="99"/>
    <w:rPr>
      <w:rFonts w:ascii="Arial" w:hAnsi="Arial" w:eastAsia="宋体" w:cs="Arial"/>
      <w:vanish/>
      <w:sz w:val="16"/>
      <w:szCs w:val="16"/>
    </w:rPr>
  </w:style>
  <w:style w:type="paragraph" w:customStyle="1" w:styleId="536">
    <w:name w:val="z-窗体底端1"/>
    <w:basedOn w:val="1"/>
    <w:next w:val="1"/>
    <w:link w:val="537"/>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character" w:customStyle="1" w:styleId="537">
    <w:name w:val="z-窗体底端 字符"/>
    <w:basedOn w:val="96"/>
    <w:link w:val="536"/>
    <w:qFormat/>
    <w:uiPriority w:val="99"/>
    <w:rPr>
      <w:rFonts w:ascii="Arial" w:hAnsi="Arial" w:eastAsia="宋体" w:cs="Arial"/>
      <w:vanish/>
      <w:kern w:val="0"/>
      <w:sz w:val="16"/>
      <w:szCs w:val="16"/>
    </w:rPr>
  </w:style>
  <w:style w:type="paragraph" w:customStyle="1" w:styleId="538">
    <w:name w:val="reader-word-layer"/>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539">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540">
    <w:name w:val="xl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41">
    <w:name w:val="xl187"/>
    <w:basedOn w:val="1"/>
    <w:qFormat/>
    <w:uiPriority w:val="0"/>
    <w:pPr>
      <w:widowControl/>
      <w:spacing w:before="100" w:beforeAutospacing="1" w:after="100" w:afterAutospacing="1" w:line="240" w:lineRule="auto"/>
      <w:jc w:val="left"/>
    </w:pPr>
    <w:rPr>
      <w:kern w:val="0"/>
      <w:sz w:val="20"/>
      <w:szCs w:val="20"/>
    </w:rPr>
  </w:style>
  <w:style w:type="paragraph" w:customStyle="1" w:styleId="542">
    <w:name w:val="xl188"/>
    <w:basedOn w:val="1"/>
    <w:qFormat/>
    <w:uiPriority w:val="0"/>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line="240" w:lineRule="auto"/>
      <w:jc w:val="center"/>
    </w:pPr>
    <w:rPr>
      <w:kern w:val="0"/>
      <w:sz w:val="20"/>
      <w:szCs w:val="20"/>
    </w:rPr>
  </w:style>
  <w:style w:type="paragraph" w:customStyle="1" w:styleId="543">
    <w:name w:val="xl189"/>
    <w:basedOn w:val="1"/>
    <w:qFormat/>
    <w:uiPriority w:val="0"/>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line="240" w:lineRule="auto"/>
      <w:jc w:val="center"/>
    </w:pPr>
    <w:rPr>
      <w:kern w:val="0"/>
      <w:sz w:val="20"/>
      <w:szCs w:val="20"/>
    </w:rPr>
  </w:style>
  <w:style w:type="paragraph" w:customStyle="1" w:styleId="544">
    <w:name w:val="xl190"/>
    <w:basedOn w:val="1"/>
    <w:qFormat/>
    <w:uiPriority w:val="0"/>
    <w:pPr>
      <w:widowControl/>
      <w:shd w:val="clear" w:color="000000" w:fill="C4D79B"/>
      <w:spacing w:before="100" w:beforeAutospacing="1" w:after="100" w:afterAutospacing="1" w:line="240" w:lineRule="auto"/>
      <w:jc w:val="left"/>
    </w:pPr>
    <w:rPr>
      <w:kern w:val="0"/>
      <w:sz w:val="20"/>
      <w:szCs w:val="20"/>
    </w:rPr>
  </w:style>
  <w:style w:type="paragraph" w:customStyle="1" w:styleId="545">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kern w:val="0"/>
      <w:sz w:val="20"/>
      <w:szCs w:val="20"/>
    </w:rPr>
  </w:style>
  <w:style w:type="paragraph" w:customStyle="1" w:styleId="546">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547">
    <w:name w:val="xl193"/>
    <w:basedOn w:val="1"/>
    <w:qFormat/>
    <w:uiPriority w:val="0"/>
    <w:pPr>
      <w:widowControl/>
      <w:spacing w:before="100" w:beforeAutospacing="1" w:after="100" w:afterAutospacing="1" w:line="240" w:lineRule="auto"/>
      <w:jc w:val="left"/>
    </w:pPr>
    <w:rPr>
      <w:kern w:val="0"/>
      <w:sz w:val="20"/>
      <w:szCs w:val="20"/>
    </w:rPr>
  </w:style>
  <w:style w:type="paragraph" w:customStyle="1" w:styleId="548">
    <w:name w:val="xl194"/>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b/>
      <w:bCs/>
      <w:kern w:val="0"/>
      <w:sz w:val="20"/>
      <w:szCs w:val="20"/>
    </w:rPr>
  </w:style>
  <w:style w:type="paragraph" w:customStyle="1" w:styleId="549">
    <w:name w:val="xl195"/>
    <w:basedOn w:val="1"/>
    <w:qFormat/>
    <w:uiPriority w:val="0"/>
    <w:pPr>
      <w:widowControl/>
      <w:pBdr>
        <w:top w:val="single" w:color="auto" w:sz="4" w:space="0"/>
        <w:bottom w:val="single" w:color="auto" w:sz="4" w:space="0"/>
      </w:pBdr>
      <w:spacing w:before="100" w:beforeAutospacing="1" w:after="100" w:afterAutospacing="1" w:line="240" w:lineRule="auto"/>
      <w:jc w:val="center"/>
    </w:pPr>
    <w:rPr>
      <w:b/>
      <w:bCs/>
      <w:kern w:val="0"/>
      <w:sz w:val="20"/>
      <w:szCs w:val="20"/>
    </w:rPr>
  </w:style>
  <w:style w:type="paragraph" w:customStyle="1" w:styleId="550">
    <w:name w:val="xl196"/>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551">
    <w:name w:val="xl19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b/>
      <w:bCs/>
      <w:kern w:val="0"/>
      <w:sz w:val="20"/>
      <w:szCs w:val="20"/>
    </w:rPr>
  </w:style>
  <w:style w:type="paragraph" w:customStyle="1" w:styleId="552">
    <w:name w:val="xl198"/>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553">
    <w:name w:val="xl199"/>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54">
    <w:name w:val="xl200"/>
    <w:basedOn w:val="1"/>
    <w:qFormat/>
    <w:uiPriority w:val="0"/>
    <w:pPr>
      <w:widowControl/>
      <w:pBdr>
        <w:left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55">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56">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557">
    <w:name w:val="xl2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558">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59">
    <w:name w:val="xl2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60">
    <w:name w:val="xl206"/>
    <w:basedOn w:val="1"/>
    <w:qFormat/>
    <w:uiPriority w:val="0"/>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line="240" w:lineRule="auto"/>
      <w:jc w:val="center"/>
    </w:pPr>
    <w:rPr>
      <w:kern w:val="0"/>
      <w:sz w:val="20"/>
      <w:szCs w:val="20"/>
    </w:rPr>
  </w:style>
  <w:style w:type="paragraph" w:customStyle="1" w:styleId="561">
    <w:name w:val="xl207"/>
    <w:basedOn w:val="1"/>
    <w:qFormat/>
    <w:uiPriority w:val="0"/>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line="240" w:lineRule="auto"/>
      <w:jc w:val="center"/>
    </w:pPr>
    <w:rPr>
      <w:kern w:val="0"/>
      <w:sz w:val="20"/>
      <w:szCs w:val="20"/>
    </w:rPr>
  </w:style>
  <w:style w:type="paragraph" w:customStyle="1" w:styleId="562">
    <w:name w:val="xl208"/>
    <w:basedOn w:val="1"/>
    <w:qFormat/>
    <w:uiPriority w:val="0"/>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line="240" w:lineRule="auto"/>
      <w:jc w:val="center"/>
    </w:pPr>
    <w:rPr>
      <w:kern w:val="0"/>
      <w:sz w:val="20"/>
      <w:szCs w:val="20"/>
    </w:rPr>
  </w:style>
  <w:style w:type="paragraph" w:customStyle="1" w:styleId="563">
    <w:name w:val="msonormal"/>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564">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65">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66">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67">
    <w:name w:val="xl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568">
    <w:name w:val="xl183"/>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569">
    <w:name w:val="xl184"/>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570">
    <w:name w:val="xl231"/>
    <w:basedOn w:val="1"/>
    <w:qFormat/>
    <w:uiPriority w:val="0"/>
    <w:pPr>
      <w:widowControl/>
      <w:spacing w:before="100" w:beforeAutospacing="1" w:after="100" w:afterAutospacing="1" w:line="240" w:lineRule="auto"/>
      <w:jc w:val="left"/>
      <w:textAlignment w:val="bottom"/>
    </w:pPr>
    <w:rPr>
      <w:rFonts w:ascii="宋体" w:hAnsi="宋体" w:cs="宋体"/>
      <w:kern w:val="0"/>
      <w:sz w:val="24"/>
    </w:rPr>
  </w:style>
  <w:style w:type="paragraph" w:customStyle="1" w:styleId="571">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4"/>
    </w:rPr>
  </w:style>
  <w:style w:type="paragraph" w:customStyle="1" w:styleId="572">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573">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b/>
      <w:bCs/>
      <w:kern w:val="0"/>
      <w:sz w:val="24"/>
    </w:rPr>
  </w:style>
  <w:style w:type="character" w:customStyle="1" w:styleId="574">
    <w:name w:val="标题 1 Char"/>
    <w:qFormat/>
    <w:uiPriority w:val="0"/>
    <w:rPr>
      <w:b/>
      <w:bCs/>
      <w:kern w:val="44"/>
      <w:sz w:val="44"/>
      <w:szCs w:val="44"/>
    </w:rPr>
  </w:style>
  <w:style w:type="character" w:customStyle="1" w:styleId="575">
    <w:name w:val="标题 2 Char"/>
    <w:qFormat/>
    <w:uiPriority w:val="9"/>
    <w:rPr>
      <w:rFonts w:ascii="Cambria" w:hAnsi="Cambria" w:eastAsia="宋体" w:cs="Times New Roman"/>
      <w:b/>
      <w:bCs/>
      <w:kern w:val="2"/>
      <w:sz w:val="32"/>
      <w:szCs w:val="32"/>
    </w:rPr>
  </w:style>
  <w:style w:type="character" w:customStyle="1" w:styleId="576">
    <w:name w:val="批注文字 Char1"/>
    <w:basedOn w:val="96"/>
    <w:qFormat/>
    <w:uiPriority w:val="0"/>
    <w:rPr>
      <w:rFonts w:ascii="Times New Roman" w:hAnsi="Times New Roman" w:eastAsia="宋体" w:cs="Times New Roman"/>
      <w:szCs w:val="24"/>
    </w:rPr>
  </w:style>
  <w:style w:type="character" w:customStyle="1" w:styleId="577">
    <w:name w:val="z-窗体顶端 字符1"/>
    <w:basedOn w:val="96"/>
    <w:qFormat/>
    <w:uiPriority w:val="99"/>
    <w:rPr>
      <w:rFonts w:ascii="Arial" w:hAnsi="Arial" w:cs="Arial"/>
      <w:vanish/>
      <w:kern w:val="2"/>
      <w:sz w:val="16"/>
      <w:szCs w:val="16"/>
    </w:rPr>
  </w:style>
  <w:style w:type="character" w:customStyle="1" w:styleId="578">
    <w:name w:val="日期 Char"/>
    <w:qFormat/>
    <w:uiPriority w:val="99"/>
    <w:rPr>
      <w:rFonts w:ascii="Times New Roman" w:hAnsi="Times New Roman" w:eastAsia="宋体" w:cs="Times New Roman"/>
      <w:szCs w:val="24"/>
    </w:rPr>
  </w:style>
  <w:style w:type="character" w:customStyle="1" w:styleId="579">
    <w:name w:val="标题 3 Char"/>
    <w:qFormat/>
    <w:uiPriority w:val="9"/>
    <w:rPr>
      <w:rFonts w:ascii="Times New Roman" w:hAnsi="Times New Roman" w:eastAsia="仿宋_GB2312" w:cs="Times New Roman"/>
      <w:b/>
      <w:bCs/>
      <w:kern w:val="0"/>
      <w:sz w:val="30"/>
      <w:szCs w:val="30"/>
      <w:lang w:val="zh-CN"/>
    </w:rPr>
  </w:style>
  <w:style w:type="character" w:customStyle="1" w:styleId="580">
    <w:name w:val="批注框文本 Char"/>
    <w:qFormat/>
    <w:uiPriority w:val="99"/>
    <w:rPr>
      <w:rFonts w:ascii="Times New Roman" w:hAnsi="Times New Roman" w:eastAsia="宋体" w:cs="Times New Roman"/>
      <w:sz w:val="18"/>
      <w:szCs w:val="18"/>
    </w:rPr>
  </w:style>
  <w:style w:type="character" w:customStyle="1" w:styleId="581">
    <w:name w:val="标题 4 Char"/>
    <w:qFormat/>
    <w:uiPriority w:val="99"/>
    <w:rPr>
      <w:rFonts w:ascii="Arial" w:hAnsi="Arial" w:eastAsia="黑体" w:cs="Times New Roman"/>
      <w:b/>
      <w:bCs/>
      <w:sz w:val="28"/>
      <w:szCs w:val="28"/>
    </w:rPr>
  </w:style>
  <w:style w:type="character" w:customStyle="1" w:styleId="582">
    <w:name w:val="标题 5 Char"/>
    <w:qFormat/>
    <w:uiPriority w:val="0"/>
    <w:rPr>
      <w:rFonts w:ascii="Times New Roman" w:hAnsi="Times New Roman" w:eastAsia="宋体" w:cs="Times New Roman"/>
      <w:b/>
      <w:bCs/>
      <w:sz w:val="28"/>
      <w:szCs w:val="28"/>
    </w:rPr>
  </w:style>
  <w:style w:type="character" w:customStyle="1" w:styleId="583">
    <w:name w:val="标题 6 Char"/>
    <w:qFormat/>
    <w:uiPriority w:val="9"/>
    <w:rPr>
      <w:rFonts w:ascii="Arial" w:hAnsi="Arial" w:eastAsia="黑体" w:cs="Times New Roman"/>
      <w:b/>
      <w:bCs/>
      <w:sz w:val="24"/>
      <w:szCs w:val="24"/>
    </w:rPr>
  </w:style>
  <w:style w:type="character" w:customStyle="1" w:styleId="584">
    <w:name w:val="标题 7 Char"/>
    <w:qFormat/>
    <w:uiPriority w:val="9"/>
    <w:rPr>
      <w:rFonts w:ascii="Arial Black" w:hAnsi="Arial Black" w:eastAsia="宋体" w:cs="Times New Roman"/>
      <w:spacing w:val="-5"/>
      <w:kern w:val="20"/>
      <w:sz w:val="18"/>
      <w:szCs w:val="20"/>
    </w:rPr>
  </w:style>
  <w:style w:type="character" w:customStyle="1" w:styleId="585">
    <w:name w:val="标题 8 Char"/>
    <w:qFormat/>
    <w:uiPriority w:val="9"/>
    <w:rPr>
      <w:rFonts w:ascii="Arial Black" w:hAnsi="Arial Black" w:eastAsia="宋体" w:cs="Times New Roman"/>
      <w:spacing w:val="-5"/>
      <w:kern w:val="20"/>
      <w:sz w:val="18"/>
      <w:szCs w:val="20"/>
    </w:rPr>
  </w:style>
  <w:style w:type="character" w:customStyle="1" w:styleId="586">
    <w:name w:val="标题 9 Char"/>
    <w:qFormat/>
    <w:uiPriority w:val="9"/>
    <w:rPr>
      <w:rFonts w:ascii="Arial Black" w:hAnsi="Arial Black" w:eastAsia="宋体" w:cs="Times New Roman"/>
      <w:spacing w:val="-5"/>
      <w:kern w:val="20"/>
      <w:sz w:val="18"/>
      <w:szCs w:val="20"/>
    </w:rPr>
  </w:style>
  <w:style w:type="character" w:customStyle="1" w:styleId="587">
    <w:name w:val="页眉 Char"/>
    <w:qFormat/>
    <w:uiPriority w:val="99"/>
    <w:rPr>
      <w:rFonts w:ascii="Times New Roman" w:hAnsi="Times New Roman" w:eastAsia="仿宋_GB2312"/>
      <w:kern w:val="28"/>
      <w:sz w:val="18"/>
      <w:szCs w:val="18"/>
    </w:rPr>
  </w:style>
  <w:style w:type="character" w:customStyle="1" w:styleId="588">
    <w:name w:val="尾注文本 Char"/>
    <w:qFormat/>
    <w:uiPriority w:val="99"/>
    <w:rPr>
      <w:rFonts w:ascii="Times New Roman" w:hAnsi="Times New Roman"/>
      <w:szCs w:val="24"/>
    </w:rPr>
  </w:style>
  <w:style w:type="character" w:customStyle="1" w:styleId="589">
    <w:name w:val="标题 Char"/>
    <w:qFormat/>
    <w:uiPriority w:val="10"/>
    <w:rPr>
      <w:rFonts w:ascii="Arial" w:hAnsi="Arial" w:cs="Arial"/>
      <w:b/>
      <w:bCs/>
      <w:sz w:val="32"/>
      <w:szCs w:val="32"/>
    </w:rPr>
  </w:style>
  <w:style w:type="character" w:customStyle="1" w:styleId="590">
    <w:name w:val="脚注文本 Char"/>
    <w:qFormat/>
    <w:uiPriority w:val="0"/>
    <w:rPr>
      <w:rFonts w:ascii="Times New Roman" w:hAnsi="Times New Roman"/>
      <w:sz w:val="18"/>
      <w:szCs w:val="18"/>
    </w:rPr>
  </w:style>
  <w:style w:type="character" w:customStyle="1" w:styleId="591">
    <w:name w:val="正文文本缩进 2 Char"/>
    <w:qFormat/>
    <w:uiPriority w:val="99"/>
    <w:rPr>
      <w:rFonts w:ascii="Times New Roman" w:hAnsi="Times New Roman" w:eastAsia="仿宋_GB2312"/>
      <w:kern w:val="28"/>
      <w:sz w:val="24"/>
      <w:szCs w:val="24"/>
    </w:rPr>
  </w:style>
  <w:style w:type="character" w:customStyle="1" w:styleId="592">
    <w:name w:val="结束语 Char"/>
    <w:qFormat/>
    <w:uiPriority w:val="99"/>
    <w:rPr>
      <w:rFonts w:ascii="Times New Roman" w:hAnsi="Times New Roman"/>
      <w:szCs w:val="24"/>
    </w:rPr>
  </w:style>
  <w:style w:type="character" w:customStyle="1" w:styleId="593">
    <w:name w:val="注释标题 Char"/>
    <w:qFormat/>
    <w:uiPriority w:val="99"/>
    <w:rPr>
      <w:rFonts w:ascii="Times New Roman" w:hAnsi="Times New Roman"/>
      <w:szCs w:val="24"/>
    </w:rPr>
  </w:style>
  <w:style w:type="character" w:customStyle="1" w:styleId="594">
    <w:name w:val="正文文本 2 Char"/>
    <w:qFormat/>
    <w:uiPriority w:val="99"/>
    <w:rPr>
      <w:rFonts w:ascii="Times New Roman" w:hAnsi="Times New Roman"/>
      <w:sz w:val="24"/>
      <w:szCs w:val="24"/>
    </w:rPr>
  </w:style>
  <w:style w:type="character" w:customStyle="1" w:styleId="595">
    <w:name w:val="文档结构图 Char"/>
    <w:link w:val="596"/>
    <w:qFormat/>
    <w:uiPriority w:val="99"/>
    <w:rPr>
      <w:rFonts w:ascii="宋体" w:hAnsi="Times New Roman"/>
      <w:sz w:val="18"/>
      <w:szCs w:val="18"/>
    </w:rPr>
  </w:style>
  <w:style w:type="paragraph" w:customStyle="1" w:styleId="596">
    <w:name w:val="文档结构图1"/>
    <w:basedOn w:val="1"/>
    <w:link w:val="595"/>
    <w:qFormat/>
    <w:uiPriority w:val="99"/>
    <w:pPr>
      <w:shd w:val="clear" w:color="auto" w:fill="000080"/>
      <w:spacing w:line="300" w:lineRule="auto"/>
    </w:pPr>
    <w:rPr>
      <w:rFonts w:ascii="宋体"/>
      <w:kern w:val="0"/>
      <w:sz w:val="18"/>
      <w:szCs w:val="18"/>
      <w:shd w:val="clear" w:color="auto" w:fill="000080"/>
    </w:rPr>
  </w:style>
  <w:style w:type="character" w:customStyle="1" w:styleId="597">
    <w:name w:val="正文首行缩进 2 Char"/>
    <w:link w:val="598"/>
    <w:qFormat/>
    <w:uiPriority w:val="99"/>
    <w:rPr>
      <w:rFonts w:ascii="Times New Roman" w:hAnsi="Times New Roman" w:eastAsia="仿宋_GB2312"/>
      <w:szCs w:val="24"/>
    </w:rPr>
  </w:style>
  <w:style w:type="paragraph" w:customStyle="1" w:styleId="598">
    <w:name w:val="正文文本首行缩进 21"/>
    <w:basedOn w:val="599"/>
    <w:link w:val="597"/>
    <w:qFormat/>
    <w:uiPriority w:val="99"/>
    <w:pPr>
      <w:spacing w:after="120" w:line="240" w:lineRule="auto"/>
      <w:ind w:left="420" w:firstLine="210" w:firstLineChars="0"/>
    </w:pPr>
    <w:rPr>
      <w:kern w:val="0"/>
      <w:sz w:val="20"/>
    </w:rPr>
  </w:style>
  <w:style w:type="paragraph" w:customStyle="1" w:styleId="599">
    <w:name w:val="正文文本缩进1"/>
    <w:basedOn w:val="1"/>
    <w:link w:val="607"/>
    <w:qFormat/>
    <w:uiPriority w:val="99"/>
    <w:pPr>
      <w:spacing w:line="300" w:lineRule="auto"/>
      <w:ind w:firstLine="420" w:firstLineChars="175"/>
    </w:pPr>
    <w:rPr>
      <w:rFonts w:eastAsia="仿宋_GB2312"/>
      <w:kern w:val="28"/>
      <w:sz w:val="24"/>
    </w:rPr>
  </w:style>
  <w:style w:type="character" w:customStyle="1" w:styleId="600">
    <w:name w:val="HTML 预设格式 Char"/>
    <w:qFormat/>
    <w:uiPriority w:val="99"/>
    <w:rPr>
      <w:rFonts w:ascii="Courier New" w:hAnsi="Courier New" w:cs="Courier New"/>
    </w:rPr>
  </w:style>
  <w:style w:type="character" w:customStyle="1" w:styleId="601">
    <w:name w:val="批注主题 Char"/>
    <w:link w:val="602"/>
    <w:qFormat/>
    <w:uiPriority w:val="99"/>
    <w:rPr>
      <w:rFonts w:ascii="Times New Roman" w:hAnsi="Times New Roman"/>
      <w:b/>
      <w:bCs/>
      <w:szCs w:val="24"/>
    </w:rPr>
  </w:style>
  <w:style w:type="paragraph" w:customStyle="1" w:styleId="602">
    <w:name w:val="批注主题1"/>
    <w:basedOn w:val="29"/>
    <w:next w:val="29"/>
    <w:link w:val="601"/>
    <w:qFormat/>
    <w:uiPriority w:val="99"/>
    <w:pPr>
      <w:spacing w:line="240" w:lineRule="auto"/>
    </w:pPr>
    <w:rPr>
      <w:b/>
      <w:bCs/>
      <w:kern w:val="0"/>
      <w:sz w:val="20"/>
    </w:rPr>
  </w:style>
  <w:style w:type="character" w:customStyle="1" w:styleId="603">
    <w:name w:val="纯文本 Char"/>
    <w:qFormat/>
    <w:uiPriority w:val="0"/>
    <w:rPr>
      <w:rFonts w:ascii="Times New Roman" w:hAnsi="Times New Roman" w:eastAsia="仿宋_GB2312"/>
      <w:kern w:val="28"/>
      <w:sz w:val="24"/>
      <w:szCs w:val="24"/>
    </w:rPr>
  </w:style>
  <w:style w:type="character" w:customStyle="1" w:styleId="604">
    <w:name w:val="签名 Char"/>
    <w:qFormat/>
    <w:uiPriority w:val="99"/>
    <w:rPr>
      <w:rFonts w:ascii="Times New Roman" w:hAnsi="Times New Roman"/>
      <w:szCs w:val="24"/>
    </w:rPr>
  </w:style>
  <w:style w:type="character" w:customStyle="1" w:styleId="605">
    <w:name w:val="宏文本 Char"/>
    <w:qFormat/>
    <w:uiPriority w:val="99"/>
    <w:rPr>
      <w:rFonts w:ascii="Courier New" w:hAnsi="Courier New"/>
      <w:sz w:val="24"/>
      <w:szCs w:val="24"/>
    </w:rPr>
  </w:style>
  <w:style w:type="character" w:customStyle="1" w:styleId="606">
    <w:name w:val="正文文本缩进 3 Char"/>
    <w:qFormat/>
    <w:uiPriority w:val="99"/>
    <w:rPr>
      <w:rFonts w:ascii="Times New Roman" w:hAnsi="Times New Roman" w:eastAsia="仿宋_GB2312"/>
      <w:kern w:val="28"/>
      <w:sz w:val="16"/>
      <w:szCs w:val="16"/>
    </w:rPr>
  </w:style>
  <w:style w:type="character" w:customStyle="1" w:styleId="607">
    <w:name w:val="正文文本缩进 Char"/>
    <w:link w:val="599"/>
    <w:qFormat/>
    <w:uiPriority w:val="99"/>
    <w:rPr>
      <w:rFonts w:ascii="Times New Roman" w:hAnsi="Times New Roman" w:eastAsia="仿宋_GB2312"/>
      <w:kern w:val="28"/>
      <w:sz w:val="24"/>
      <w:szCs w:val="24"/>
    </w:rPr>
  </w:style>
  <w:style w:type="character" w:customStyle="1" w:styleId="608">
    <w:name w:val="正文文本 Char"/>
    <w:qFormat/>
    <w:uiPriority w:val="0"/>
    <w:rPr>
      <w:rFonts w:ascii="Times New Roman" w:hAnsi="Times New Roman" w:eastAsia="仿宋_GB2312"/>
      <w:kern w:val="28"/>
      <w:sz w:val="24"/>
      <w:szCs w:val="24"/>
    </w:rPr>
  </w:style>
  <w:style w:type="character" w:customStyle="1" w:styleId="609">
    <w:name w:val="正文文本 3 Char"/>
    <w:link w:val="610"/>
    <w:qFormat/>
    <w:uiPriority w:val="99"/>
    <w:rPr>
      <w:rFonts w:ascii="Times New Roman" w:hAnsi="Times New Roman"/>
      <w:sz w:val="16"/>
      <w:szCs w:val="16"/>
    </w:rPr>
  </w:style>
  <w:style w:type="paragraph" w:customStyle="1" w:styleId="610">
    <w:name w:val="Body Text 31"/>
    <w:basedOn w:val="1"/>
    <w:link w:val="609"/>
    <w:qFormat/>
    <w:uiPriority w:val="99"/>
    <w:pPr>
      <w:spacing w:line="240" w:lineRule="auto"/>
    </w:pPr>
    <w:rPr>
      <w:kern w:val="0"/>
      <w:sz w:val="16"/>
      <w:szCs w:val="16"/>
    </w:rPr>
  </w:style>
  <w:style w:type="character" w:customStyle="1" w:styleId="611">
    <w:name w:val="页脚 Char"/>
    <w:qFormat/>
    <w:uiPriority w:val="99"/>
    <w:rPr>
      <w:rFonts w:ascii="Times New Roman" w:hAnsi="Times New Roman"/>
      <w:sz w:val="18"/>
      <w:szCs w:val="18"/>
    </w:rPr>
  </w:style>
  <w:style w:type="character" w:customStyle="1" w:styleId="612">
    <w:name w:val="正文首行缩进 Char"/>
    <w:link w:val="613"/>
    <w:qFormat/>
    <w:uiPriority w:val="0"/>
    <w:rPr>
      <w:rFonts w:ascii="Times New Roman" w:hAnsi="Times New Roman" w:eastAsia="仿宋_GB2312"/>
      <w:kern w:val="28"/>
      <w:sz w:val="24"/>
      <w:szCs w:val="24"/>
    </w:rPr>
  </w:style>
  <w:style w:type="paragraph" w:customStyle="1" w:styleId="613">
    <w:name w:val="_Style 62"/>
    <w:basedOn w:val="10"/>
    <w:link w:val="612"/>
    <w:unhideWhenUsed/>
    <w:qFormat/>
    <w:uiPriority w:val="0"/>
    <w:pPr>
      <w:spacing w:beforeLines="0" w:after="120" w:afterLines="0"/>
      <w:ind w:firstLine="420" w:firstLineChars="100"/>
    </w:pPr>
    <w:rPr>
      <w:rFonts w:cs="Times New Roman"/>
    </w:rPr>
  </w:style>
  <w:style w:type="character" w:customStyle="1" w:styleId="614">
    <w:name w:val="信息标题 Char"/>
    <w:qFormat/>
    <w:uiPriority w:val="99"/>
    <w:rPr>
      <w:rFonts w:ascii="Arial" w:hAnsi="Arial" w:cs="Arial"/>
      <w:sz w:val="24"/>
      <w:szCs w:val="24"/>
      <w:shd w:val="pct20" w:color="auto" w:fill="auto"/>
    </w:rPr>
  </w:style>
  <w:style w:type="character" w:customStyle="1" w:styleId="615">
    <w:name w:val="称呼 Char"/>
    <w:qFormat/>
    <w:uiPriority w:val="99"/>
    <w:rPr>
      <w:rFonts w:ascii="Times New Roman" w:hAnsi="Times New Roman"/>
      <w:szCs w:val="24"/>
    </w:rPr>
  </w:style>
  <w:style w:type="character" w:customStyle="1" w:styleId="616">
    <w:name w:val="副标题 Char"/>
    <w:qFormat/>
    <w:uiPriority w:val="11"/>
    <w:rPr>
      <w:rFonts w:ascii="Arial" w:hAnsi="Arial" w:cs="Arial"/>
      <w:b/>
      <w:bCs/>
      <w:kern w:val="28"/>
      <w:sz w:val="32"/>
      <w:szCs w:val="32"/>
    </w:rPr>
  </w:style>
  <w:style w:type="character" w:customStyle="1" w:styleId="617">
    <w:name w:val="电子邮件签名 Char"/>
    <w:qFormat/>
    <w:uiPriority w:val="99"/>
    <w:rPr>
      <w:rFonts w:ascii="Times New Roman" w:hAnsi="Times New Roman"/>
      <w:szCs w:val="24"/>
    </w:rPr>
  </w:style>
  <w:style w:type="character" w:customStyle="1" w:styleId="618">
    <w:name w:val="HTML 地址 Char"/>
    <w:qFormat/>
    <w:uiPriority w:val="99"/>
    <w:rPr>
      <w:rFonts w:ascii="宋体" w:hAnsi="宋体" w:cs="宋体"/>
      <w:i/>
      <w:iCs/>
      <w:sz w:val="24"/>
      <w:szCs w:val="24"/>
    </w:rPr>
  </w:style>
  <w:style w:type="character" w:customStyle="1" w:styleId="619">
    <w:name w:val="无间隔 Char"/>
    <w:link w:val="620"/>
    <w:qFormat/>
    <w:uiPriority w:val="1"/>
    <w:rPr>
      <w:rFonts w:ascii="Calibri" w:hAnsi="Calibri" w:eastAsia="宋体" w:cs="Times New Roman"/>
      <w:sz w:val="24"/>
    </w:rPr>
  </w:style>
  <w:style w:type="paragraph" w:customStyle="1" w:styleId="620">
    <w:name w:val="无间隔1"/>
    <w:link w:val="619"/>
    <w:qFormat/>
    <w:uiPriority w:val="1"/>
    <w:pPr>
      <w:widowControl w:val="0"/>
      <w:spacing w:line="312" w:lineRule="auto"/>
      <w:ind w:firstLine="200" w:firstLineChars="200"/>
      <w:jc w:val="both"/>
    </w:pPr>
    <w:rPr>
      <w:rFonts w:ascii="Calibri" w:hAnsi="Calibri" w:eastAsia="宋体" w:cs="Times New Roman"/>
      <w:sz w:val="24"/>
      <w:lang w:val="en-US" w:eastAsia="zh-CN" w:bidi="ar-SA"/>
    </w:rPr>
  </w:style>
  <w:style w:type="character" w:customStyle="1" w:styleId="621">
    <w:name w:val="目录 3 Char"/>
    <w:qFormat/>
    <w:locked/>
    <w:uiPriority w:val="39"/>
    <w:rPr>
      <w:rFonts w:eastAsia="宋体" w:cs="Calibri"/>
      <w:i/>
      <w:iCs/>
      <w:sz w:val="20"/>
      <w:szCs w:val="20"/>
    </w:rPr>
  </w:style>
  <w:style w:type="character" w:customStyle="1" w:styleId="622">
    <w:name w:val="z-窗体顶端 Char"/>
    <w:qFormat/>
    <w:uiPriority w:val="99"/>
    <w:rPr>
      <w:rFonts w:ascii="Arial" w:hAnsi="Arial" w:cs="Arial"/>
      <w:vanish/>
      <w:sz w:val="16"/>
      <w:szCs w:val="16"/>
    </w:rPr>
  </w:style>
  <w:style w:type="character" w:customStyle="1" w:styleId="623">
    <w:name w:val="z-窗体底端 Char"/>
    <w:qFormat/>
    <w:uiPriority w:val="99"/>
    <w:rPr>
      <w:rFonts w:ascii="Arial" w:hAnsi="Arial" w:eastAsia="宋体" w:cs="Arial"/>
      <w:vanish/>
      <w:kern w:val="0"/>
      <w:sz w:val="16"/>
      <w:szCs w:val="16"/>
    </w:rPr>
  </w:style>
  <w:style w:type="paragraph" w:customStyle="1" w:styleId="624">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25">
    <w:name w:val="xl230"/>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626">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0"/>
      <w:szCs w:val="20"/>
    </w:rPr>
  </w:style>
  <w:style w:type="paragraph" w:customStyle="1" w:styleId="627">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628">
    <w:name w:val="xl23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center"/>
    </w:pPr>
    <w:rPr>
      <w:b/>
      <w:bCs/>
      <w:kern w:val="0"/>
      <w:sz w:val="20"/>
      <w:szCs w:val="20"/>
    </w:rPr>
  </w:style>
  <w:style w:type="paragraph" w:customStyle="1" w:styleId="629">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30">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31">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32">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33">
    <w:name w:val="xl24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center"/>
    </w:pPr>
    <w:rPr>
      <w:b/>
      <w:bCs/>
      <w:color w:val="4F81BD"/>
      <w:kern w:val="0"/>
      <w:sz w:val="20"/>
      <w:szCs w:val="20"/>
    </w:rPr>
  </w:style>
  <w:style w:type="paragraph" w:customStyle="1" w:styleId="634">
    <w:name w:val="xl2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635">
    <w:name w:val="xl2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636">
    <w:name w:val="xl245"/>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仿宋_GB2312" w:hAnsi="宋体" w:eastAsia="仿宋_GB2312" w:cs="宋体"/>
      <w:b/>
      <w:bCs/>
      <w:kern w:val="0"/>
      <w:sz w:val="20"/>
      <w:szCs w:val="20"/>
    </w:rPr>
  </w:style>
  <w:style w:type="paragraph" w:customStyle="1" w:styleId="637">
    <w:name w:val="xl246"/>
    <w:basedOn w:val="1"/>
    <w:qFormat/>
    <w:uiPriority w:val="0"/>
    <w:pPr>
      <w:widowControl/>
      <w:pBdr>
        <w:top w:val="single" w:color="auto" w:sz="4" w:space="0"/>
        <w:bottom w:val="single" w:color="auto" w:sz="4" w:space="0"/>
      </w:pBdr>
      <w:spacing w:before="100" w:beforeAutospacing="1" w:after="100" w:afterAutospacing="1" w:line="240" w:lineRule="auto"/>
      <w:jc w:val="center"/>
    </w:pPr>
    <w:rPr>
      <w:b/>
      <w:bCs/>
      <w:kern w:val="0"/>
      <w:sz w:val="20"/>
      <w:szCs w:val="20"/>
    </w:rPr>
  </w:style>
  <w:style w:type="paragraph" w:customStyle="1" w:styleId="638">
    <w:name w:val="xl247"/>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639">
    <w:name w:val="xl2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b/>
      <w:bCs/>
      <w:kern w:val="0"/>
      <w:sz w:val="20"/>
      <w:szCs w:val="20"/>
    </w:rPr>
  </w:style>
  <w:style w:type="paragraph" w:customStyle="1" w:styleId="640">
    <w:name w:val="xl249"/>
    <w:basedOn w:val="1"/>
    <w:qFormat/>
    <w:uiPriority w:val="0"/>
    <w:pPr>
      <w:widowControl/>
      <w:pBdr>
        <w:top w:val="single" w:color="auto" w:sz="4" w:space="0"/>
        <w:bottom w:val="single" w:color="auto" w:sz="4" w:space="0"/>
      </w:pBdr>
      <w:spacing w:before="100" w:beforeAutospacing="1" w:after="100" w:afterAutospacing="1" w:line="240" w:lineRule="auto"/>
      <w:jc w:val="center"/>
    </w:pPr>
    <w:rPr>
      <w:rFonts w:ascii="仿宋_GB2312" w:hAnsi="宋体" w:eastAsia="仿宋_GB2312" w:cs="宋体"/>
      <w:b/>
      <w:bCs/>
      <w:kern w:val="0"/>
      <w:sz w:val="20"/>
      <w:szCs w:val="20"/>
    </w:rPr>
  </w:style>
  <w:style w:type="paragraph" w:customStyle="1" w:styleId="641">
    <w:name w:val="xl250"/>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b/>
      <w:bCs/>
      <w:kern w:val="0"/>
      <w:sz w:val="20"/>
      <w:szCs w:val="20"/>
    </w:rPr>
  </w:style>
  <w:style w:type="paragraph" w:customStyle="1" w:styleId="642">
    <w:name w:val="xl251"/>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b/>
      <w:bCs/>
      <w:kern w:val="0"/>
      <w:sz w:val="20"/>
      <w:szCs w:val="20"/>
    </w:rPr>
  </w:style>
  <w:style w:type="character" w:customStyle="1" w:styleId="643">
    <w:name w:val="批注主题 字符1"/>
    <w:basedOn w:val="120"/>
    <w:qFormat/>
    <w:uiPriority w:val="0"/>
    <w:rPr>
      <w:rFonts w:ascii="Times New Roman" w:hAnsi="Times New Roman" w:eastAsia="宋体" w:cs="Times New Roman"/>
      <w:b/>
      <w:bCs/>
      <w:kern w:val="2"/>
      <w:sz w:val="21"/>
      <w:szCs w:val="24"/>
    </w:rPr>
  </w:style>
  <w:style w:type="character" w:customStyle="1" w:styleId="644">
    <w:name w:val="称呼 字符1"/>
    <w:basedOn w:val="96"/>
    <w:qFormat/>
    <w:uiPriority w:val="0"/>
    <w:rPr>
      <w:rFonts w:ascii="Times New Roman" w:hAnsi="Times New Roman" w:eastAsia="宋体" w:cs="Times New Roman"/>
      <w:szCs w:val="24"/>
    </w:rPr>
  </w:style>
  <w:style w:type="character" w:customStyle="1" w:styleId="645">
    <w:name w:val="文档结构图 字符1"/>
    <w:basedOn w:val="96"/>
    <w:qFormat/>
    <w:uiPriority w:val="0"/>
    <w:rPr>
      <w:rFonts w:ascii="Microsoft YaHei UI" w:hAnsi="Times New Roman" w:eastAsia="Microsoft YaHei UI" w:cs="Times New Roman"/>
      <w:sz w:val="18"/>
      <w:szCs w:val="18"/>
    </w:rPr>
  </w:style>
  <w:style w:type="character" w:customStyle="1" w:styleId="646">
    <w:name w:val="正文文本缩进 3 字符1"/>
    <w:basedOn w:val="96"/>
    <w:qFormat/>
    <w:uiPriority w:val="0"/>
    <w:rPr>
      <w:rFonts w:ascii="Times New Roman" w:hAnsi="Times New Roman" w:eastAsia="宋体" w:cs="Times New Roman"/>
      <w:sz w:val="16"/>
      <w:szCs w:val="16"/>
    </w:rPr>
  </w:style>
  <w:style w:type="character" w:customStyle="1" w:styleId="647">
    <w:name w:val="正文文本 字符1"/>
    <w:basedOn w:val="96"/>
    <w:qFormat/>
    <w:uiPriority w:val="0"/>
    <w:rPr>
      <w:rFonts w:ascii="Times New Roman" w:hAnsi="Times New Roman" w:eastAsia="宋体" w:cs="Times New Roman"/>
      <w:szCs w:val="24"/>
    </w:rPr>
  </w:style>
  <w:style w:type="character" w:customStyle="1" w:styleId="648">
    <w:name w:val="尾注文本 字符1"/>
    <w:basedOn w:val="96"/>
    <w:qFormat/>
    <w:uiPriority w:val="0"/>
    <w:rPr>
      <w:rFonts w:ascii="Times New Roman" w:hAnsi="Times New Roman" w:eastAsia="宋体" w:cs="Times New Roman"/>
      <w:szCs w:val="24"/>
    </w:rPr>
  </w:style>
  <w:style w:type="character" w:customStyle="1" w:styleId="649">
    <w:name w:val="HTML 预设格式 字符1"/>
    <w:basedOn w:val="96"/>
    <w:qFormat/>
    <w:uiPriority w:val="0"/>
    <w:rPr>
      <w:rFonts w:ascii="Courier New" w:hAnsi="Courier New" w:eastAsia="宋体" w:cs="Courier New"/>
      <w:sz w:val="20"/>
      <w:szCs w:val="20"/>
    </w:rPr>
  </w:style>
  <w:style w:type="character" w:customStyle="1" w:styleId="650">
    <w:name w:val="注释标题 字符1"/>
    <w:basedOn w:val="96"/>
    <w:qFormat/>
    <w:uiPriority w:val="0"/>
    <w:rPr>
      <w:rFonts w:ascii="Times New Roman" w:hAnsi="Times New Roman" w:eastAsia="宋体" w:cs="Times New Roman"/>
      <w:szCs w:val="24"/>
    </w:rPr>
  </w:style>
  <w:style w:type="character" w:customStyle="1" w:styleId="651">
    <w:name w:val="正文文本 2 字符1"/>
    <w:basedOn w:val="96"/>
    <w:qFormat/>
    <w:uiPriority w:val="0"/>
    <w:rPr>
      <w:rFonts w:ascii="Times New Roman" w:hAnsi="Times New Roman" w:eastAsia="宋体" w:cs="Times New Roman"/>
      <w:szCs w:val="24"/>
    </w:rPr>
  </w:style>
  <w:style w:type="character" w:customStyle="1" w:styleId="652">
    <w:name w:val="副标题 字符1"/>
    <w:basedOn w:val="96"/>
    <w:qFormat/>
    <w:uiPriority w:val="0"/>
    <w:rPr>
      <w:b/>
      <w:bCs/>
      <w:kern w:val="28"/>
      <w:sz w:val="32"/>
      <w:szCs w:val="32"/>
    </w:rPr>
  </w:style>
  <w:style w:type="character" w:customStyle="1" w:styleId="653">
    <w:name w:val="结束语 字符1"/>
    <w:basedOn w:val="96"/>
    <w:qFormat/>
    <w:uiPriority w:val="0"/>
    <w:rPr>
      <w:rFonts w:ascii="Times New Roman" w:hAnsi="Times New Roman" w:eastAsia="宋体" w:cs="Times New Roman"/>
      <w:szCs w:val="24"/>
    </w:rPr>
  </w:style>
  <w:style w:type="character" w:customStyle="1" w:styleId="654">
    <w:name w:val="正文首行缩进 字符1"/>
    <w:basedOn w:val="647"/>
    <w:qFormat/>
    <w:uiPriority w:val="0"/>
    <w:rPr>
      <w:rFonts w:ascii="Times New Roman" w:hAnsi="Times New Roman" w:eastAsia="宋体" w:cs="Times New Roman"/>
      <w:szCs w:val="24"/>
    </w:rPr>
  </w:style>
  <w:style w:type="character" w:customStyle="1" w:styleId="655">
    <w:name w:val="正文文本 3 字符1"/>
    <w:basedOn w:val="96"/>
    <w:qFormat/>
    <w:uiPriority w:val="0"/>
    <w:rPr>
      <w:rFonts w:ascii="Times New Roman" w:hAnsi="Times New Roman" w:eastAsia="宋体" w:cs="Times New Roman"/>
      <w:sz w:val="16"/>
      <w:szCs w:val="16"/>
    </w:rPr>
  </w:style>
  <w:style w:type="character" w:customStyle="1" w:styleId="656">
    <w:name w:val="签名 字符1"/>
    <w:basedOn w:val="96"/>
    <w:qFormat/>
    <w:uiPriority w:val="0"/>
    <w:rPr>
      <w:rFonts w:ascii="Times New Roman" w:hAnsi="Times New Roman" w:eastAsia="宋体" w:cs="Times New Roman"/>
      <w:szCs w:val="24"/>
    </w:rPr>
  </w:style>
  <w:style w:type="character" w:customStyle="1" w:styleId="657">
    <w:name w:val="电子邮件签名 字符1"/>
    <w:basedOn w:val="96"/>
    <w:qFormat/>
    <w:uiPriority w:val="0"/>
    <w:rPr>
      <w:rFonts w:ascii="Times New Roman" w:hAnsi="Times New Roman" w:eastAsia="宋体" w:cs="Times New Roman"/>
      <w:szCs w:val="24"/>
    </w:rPr>
  </w:style>
  <w:style w:type="character" w:customStyle="1" w:styleId="658">
    <w:name w:val="正文文本缩进 2 字符1"/>
    <w:basedOn w:val="96"/>
    <w:qFormat/>
    <w:uiPriority w:val="0"/>
    <w:rPr>
      <w:rFonts w:ascii="Times New Roman" w:hAnsi="Times New Roman" w:eastAsia="宋体" w:cs="Times New Roman"/>
      <w:szCs w:val="24"/>
    </w:rPr>
  </w:style>
  <w:style w:type="character" w:customStyle="1" w:styleId="659">
    <w:name w:val="信息标题 字符1"/>
    <w:basedOn w:val="96"/>
    <w:qFormat/>
    <w:uiPriority w:val="0"/>
    <w:rPr>
      <w:rFonts w:asciiTheme="majorHAnsi" w:hAnsiTheme="majorHAnsi" w:eastAsiaTheme="majorEastAsia" w:cstheme="majorBidi"/>
      <w:sz w:val="24"/>
      <w:szCs w:val="24"/>
      <w:shd w:val="pct20" w:color="auto" w:fill="auto"/>
    </w:rPr>
  </w:style>
  <w:style w:type="character" w:customStyle="1" w:styleId="660">
    <w:name w:val="宏文本 字符1"/>
    <w:basedOn w:val="96"/>
    <w:qFormat/>
    <w:uiPriority w:val="0"/>
    <w:rPr>
      <w:rFonts w:ascii="Courier New" w:hAnsi="Courier New" w:eastAsia="宋体" w:cs="Courier New"/>
      <w:sz w:val="24"/>
      <w:szCs w:val="24"/>
    </w:rPr>
  </w:style>
  <w:style w:type="character" w:customStyle="1" w:styleId="661">
    <w:name w:val="脚注文本 字符1"/>
    <w:basedOn w:val="96"/>
    <w:qFormat/>
    <w:uiPriority w:val="0"/>
    <w:rPr>
      <w:rFonts w:ascii="Times New Roman" w:hAnsi="Times New Roman" w:eastAsia="宋体" w:cs="Times New Roman"/>
      <w:sz w:val="18"/>
      <w:szCs w:val="18"/>
    </w:rPr>
  </w:style>
  <w:style w:type="character" w:customStyle="1" w:styleId="662">
    <w:name w:val="正文文本缩进 字符1"/>
    <w:basedOn w:val="96"/>
    <w:qFormat/>
    <w:uiPriority w:val="0"/>
    <w:rPr>
      <w:rFonts w:ascii="Times New Roman" w:hAnsi="Times New Roman" w:eastAsia="宋体" w:cs="Times New Roman"/>
      <w:szCs w:val="24"/>
    </w:rPr>
  </w:style>
  <w:style w:type="character" w:customStyle="1" w:styleId="663">
    <w:name w:val="正文首行缩进 2 字符1"/>
    <w:basedOn w:val="662"/>
    <w:qFormat/>
    <w:uiPriority w:val="0"/>
    <w:rPr>
      <w:rFonts w:ascii="Times New Roman" w:hAnsi="Times New Roman" w:eastAsia="宋体" w:cs="Times New Roman"/>
      <w:szCs w:val="24"/>
    </w:rPr>
  </w:style>
  <w:style w:type="character" w:customStyle="1" w:styleId="664">
    <w:name w:val="标题 字符1"/>
    <w:basedOn w:val="96"/>
    <w:qFormat/>
    <w:uiPriority w:val="0"/>
    <w:rPr>
      <w:rFonts w:asciiTheme="majorHAnsi" w:hAnsiTheme="majorHAnsi" w:eastAsiaTheme="majorEastAsia" w:cstheme="majorBidi"/>
      <w:b/>
      <w:bCs/>
      <w:sz w:val="32"/>
      <w:szCs w:val="32"/>
    </w:rPr>
  </w:style>
  <w:style w:type="character" w:customStyle="1" w:styleId="665">
    <w:name w:val="纯文本 字符1"/>
    <w:basedOn w:val="96"/>
    <w:qFormat/>
    <w:uiPriority w:val="0"/>
    <w:rPr>
      <w:rFonts w:hAnsi="Courier New" w:cs="Courier New" w:asciiTheme="minorEastAsia"/>
      <w:szCs w:val="24"/>
    </w:rPr>
  </w:style>
  <w:style w:type="character" w:customStyle="1" w:styleId="666">
    <w:name w:val="HTML 地址 字符1"/>
    <w:basedOn w:val="96"/>
    <w:qFormat/>
    <w:uiPriority w:val="0"/>
    <w:rPr>
      <w:rFonts w:ascii="Times New Roman" w:hAnsi="Times New Roman" w:eastAsia="宋体" w:cs="Times New Roman"/>
      <w:i/>
      <w:iCs/>
      <w:szCs w:val="24"/>
    </w:rPr>
  </w:style>
  <w:style w:type="table" w:customStyle="1" w:styleId="667">
    <w:name w:val="网格型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8">
    <w:name w:val="表格主题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9">
    <w:name w:val="典雅型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670">
    <w:name w:val="列表型 3MO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671">
    <w:name w:val="列表型 7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672">
    <w:name w:val="流行型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673">
    <w:name w:val="专业型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674">
    <w:name w:val="网格型5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3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网格型2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7">
    <w:name w:val="网格型1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8">
    <w:name w:val="网格型4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9">
    <w:name w:val="网格型6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0">
    <w:name w:val="列表型 7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681">
    <w:name w:val="表格主题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2">
    <w:name w:val="流行型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683">
    <w:name w:val="专业型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684">
    <w:name w:val="典雅型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685">
    <w:name w:val="网格型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6">
    <w:name w:val="网格型2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7">
    <w:name w:val="网格型3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网格型4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9">
    <w:name w:val="网格型5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0">
    <w:name w:val="网格型7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8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9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3">
    <w:name w:val="网格型10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网格型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5">
    <w:name w:val="列表型 3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696">
    <w:name w:val="列表型 7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697">
    <w:name w:val="流行型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paragraph" w:customStyle="1" w:styleId="698">
    <w:name w:val="font10"/>
    <w:basedOn w:val="1"/>
    <w:qFormat/>
    <w:uiPriority w:val="0"/>
    <w:pPr>
      <w:widowControl/>
      <w:spacing w:before="100" w:beforeAutospacing="1" w:after="100" w:afterAutospacing="1" w:line="240" w:lineRule="auto"/>
      <w:jc w:val="left"/>
    </w:pPr>
    <w:rPr>
      <w:rFonts w:ascii="仿宋_GB2312" w:hAnsi="宋体" w:eastAsia="仿宋_GB2312" w:cs="宋体"/>
      <w:color w:val="FF0000"/>
      <w:kern w:val="0"/>
      <w:sz w:val="20"/>
      <w:szCs w:val="20"/>
    </w:rPr>
  </w:style>
  <w:style w:type="paragraph" w:customStyle="1" w:styleId="699">
    <w:name w:val="font11"/>
    <w:basedOn w:val="1"/>
    <w:qFormat/>
    <w:uiPriority w:val="0"/>
    <w:pPr>
      <w:widowControl/>
      <w:spacing w:before="100" w:beforeAutospacing="1" w:after="100" w:afterAutospacing="1" w:line="240" w:lineRule="auto"/>
      <w:jc w:val="left"/>
    </w:pPr>
    <w:rPr>
      <w:rFonts w:ascii="宋体" w:hAnsi="宋体" w:cs="宋体"/>
      <w:kern w:val="0"/>
      <w:sz w:val="18"/>
      <w:szCs w:val="18"/>
    </w:rPr>
  </w:style>
  <w:style w:type="paragraph" w:customStyle="1" w:styleId="700">
    <w:name w:val="xl209"/>
    <w:basedOn w:val="1"/>
    <w:qFormat/>
    <w:uiPriority w:val="0"/>
    <w:pPr>
      <w:widowControl/>
      <w:spacing w:before="100" w:beforeAutospacing="1" w:after="100" w:afterAutospacing="1" w:line="240" w:lineRule="auto"/>
      <w:jc w:val="left"/>
    </w:pPr>
    <w:rPr>
      <w:b/>
      <w:bCs/>
      <w:kern w:val="0"/>
      <w:sz w:val="20"/>
      <w:szCs w:val="20"/>
    </w:rPr>
  </w:style>
  <w:style w:type="paragraph" w:customStyle="1" w:styleId="701">
    <w:name w:val="xl210"/>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color w:val="FF0000"/>
      <w:kern w:val="0"/>
      <w:sz w:val="20"/>
      <w:szCs w:val="20"/>
    </w:rPr>
  </w:style>
  <w:style w:type="paragraph" w:customStyle="1" w:styleId="70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color w:val="FF0000"/>
      <w:kern w:val="0"/>
      <w:sz w:val="20"/>
      <w:szCs w:val="20"/>
    </w:rPr>
  </w:style>
  <w:style w:type="paragraph" w:customStyle="1" w:styleId="703">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b/>
      <w:bCs/>
      <w:kern w:val="0"/>
      <w:sz w:val="20"/>
      <w:szCs w:val="20"/>
    </w:rPr>
  </w:style>
  <w:style w:type="paragraph" w:customStyle="1" w:styleId="704">
    <w:name w:val="xl21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05">
    <w:name w:val="xl214"/>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color w:val="FF0000"/>
      <w:kern w:val="0"/>
      <w:sz w:val="20"/>
      <w:szCs w:val="20"/>
    </w:rPr>
  </w:style>
  <w:style w:type="paragraph" w:customStyle="1" w:styleId="706">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707">
    <w:name w:val="xl216"/>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08">
    <w:name w:val="xl217"/>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09">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710">
    <w:name w:val="xl219"/>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11">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0"/>
      <w:szCs w:val="20"/>
    </w:rPr>
  </w:style>
  <w:style w:type="paragraph" w:customStyle="1" w:styleId="712">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kern w:val="0"/>
      <w:sz w:val="20"/>
      <w:szCs w:val="20"/>
    </w:rPr>
  </w:style>
  <w:style w:type="paragraph" w:customStyle="1" w:styleId="713">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b/>
      <w:bCs/>
      <w:kern w:val="0"/>
      <w:sz w:val="24"/>
    </w:rPr>
  </w:style>
  <w:style w:type="paragraph" w:customStyle="1" w:styleId="714">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rPr>
  </w:style>
  <w:style w:type="paragraph" w:customStyle="1" w:styleId="715">
    <w:name w:val="xl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rPr>
  </w:style>
  <w:style w:type="paragraph" w:customStyle="1" w:styleId="716">
    <w:name w:val="xl225"/>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17">
    <w:name w:val="xl226"/>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pPr>
    <w:rPr>
      <w:b/>
      <w:bCs/>
      <w:kern w:val="0"/>
      <w:sz w:val="20"/>
      <w:szCs w:val="20"/>
    </w:rPr>
  </w:style>
  <w:style w:type="paragraph" w:customStyle="1" w:styleId="718">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kern w:val="0"/>
      <w:sz w:val="20"/>
      <w:szCs w:val="20"/>
    </w:rPr>
  </w:style>
  <w:style w:type="paragraph" w:customStyle="1" w:styleId="719">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_GB2312" w:hAnsi="宋体" w:eastAsia="仿宋_GB2312" w:cs="宋体"/>
      <w:b/>
      <w:bCs/>
      <w:color w:val="FF0000"/>
      <w:kern w:val="0"/>
      <w:sz w:val="20"/>
      <w:szCs w:val="20"/>
    </w:rPr>
  </w:style>
  <w:style w:type="table" w:customStyle="1" w:styleId="720">
    <w:name w:val="网格型15"/>
    <w:basedOn w:val="88"/>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21">
    <w:name w:val="修订2"/>
    <w:hidden/>
    <w:qFormat/>
    <w:uiPriority w:val="99"/>
    <w:rPr>
      <w:rFonts w:asciiTheme="minorHAnsi" w:hAnsiTheme="minorHAnsi" w:eastAsiaTheme="minorEastAsia" w:cstheme="minorBidi"/>
      <w:kern w:val="2"/>
      <w:sz w:val="21"/>
      <w:szCs w:val="22"/>
      <w:lang w:val="en-US" w:eastAsia="zh-CN" w:bidi="ar-SA"/>
    </w:rPr>
  </w:style>
  <w:style w:type="paragraph" w:customStyle="1" w:styleId="722">
    <w:name w:val="xl2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kern w:val="0"/>
      <w:sz w:val="22"/>
      <w:szCs w:val="22"/>
    </w:rPr>
  </w:style>
  <w:style w:type="paragraph" w:customStyle="1" w:styleId="723">
    <w:name w:val="xl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_GB2312" w:hAnsi="宋体" w:eastAsia="仿宋_GB2312" w:cs="宋体"/>
      <w:color w:val="000000"/>
      <w:kern w:val="0"/>
      <w:sz w:val="22"/>
      <w:szCs w:val="22"/>
    </w:rPr>
  </w:style>
  <w:style w:type="paragraph" w:customStyle="1" w:styleId="724">
    <w:name w:val="xl254"/>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仿宋_GB2312" w:hAnsi="宋体" w:eastAsia="仿宋_GB2312" w:cs="宋体"/>
      <w:b/>
      <w:bCs/>
      <w:kern w:val="0"/>
      <w:sz w:val="22"/>
      <w:szCs w:val="22"/>
    </w:rPr>
  </w:style>
  <w:style w:type="paragraph" w:customStyle="1" w:styleId="725">
    <w:name w:val="font12"/>
    <w:basedOn w:val="1"/>
    <w:qFormat/>
    <w:uiPriority w:val="0"/>
    <w:pPr>
      <w:widowControl/>
      <w:spacing w:before="100" w:beforeAutospacing="1" w:after="100" w:afterAutospacing="1" w:line="240" w:lineRule="auto"/>
      <w:jc w:val="left"/>
    </w:pPr>
    <w:rPr>
      <w:kern w:val="0"/>
      <w:sz w:val="22"/>
      <w:szCs w:val="22"/>
    </w:rPr>
  </w:style>
  <w:style w:type="paragraph" w:customStyle="1" w:styleId="726">
    <w:name w:val="font13"/>
    <w:basedOn w:val="1"/>
    <w:qFormat/>
    <w:uiPriority w:val="0"/>
    <w:pPr>
      <w:widowControl/>
      <w:spacing w:before="100" w:beforeAutospacing="1" w:after="100" w:afterAutospacing="1" w:line="240" w:lineRule="auto"/>
      <w:jc w:val="left"/>
    </w:pPr>
    <w:rPr>
      <w:color w:val="000000"/>
      <w:kern w:val="0"/>
      <w:sz w:val="22"/>
      <w:szCs w:val="22"/>
    </w:rPr>
  </w:style>
  <w:style w:type="paragraph" w:customStyle="1" w:styleId="727">
    <w:name w:val="font14"/>
    <w:basedOn w:val="1"/>
    <w:qFormat/>
    <w:uiPriority w:val="0"/>
    <w:pPr>
      <w:widowControl/>
      <w:spacing w:before="100" w:beforeAutospacing="1" w:after="100" w:afterAutospacing="1" w:line="240" w:lineRule="auto"/>
      <w:jc w:val="left"/>
    </w:pPr>
    <w:rPr>
      <w:color w:val="000000"/>
      <w:kern w:val="0"/>
      <w:sz w:val="22"/>
      <w:szCs w:val="22"/>
    </w:rPr>
  </w:style>
  <w:style w:type="paragraph" w:customStyle="1" w:styleId="728">
    <w:name w:val="font15"/>
    <w:basedOn w:val="1"/>
    <w:qFormat/>
    <w:uiPriority w:val="0"/>
    <w:pPr>
      <w:widowControl/>
      <w:spacing w:before="100" w:beforeAutospacing="1" w:after="100" w:afterAutospacing="1" w:line="240" w:lineRule="auto"/>
      <w:jc w:val="left"/>
    </w:pPr>
    <w:rPr>
      <w:rFonts w:ascii="仿宋_GB2312" w:hAnsi="宋体" w:eastAsia="仿宋_GB2312" w:cs="宋体"/>
      <w:b/>
      <w:bCs/>
      <w:kern w:val="0"/>
      <w:sz w:val="22"/>
      <w:szCs w:val="22"/>
    </w:rPr>
  </w:style>
  <w:style w:type="paragraph" w:customStyle="1" w:styleId="72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73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73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kern w:val="0"/>
      <w:sz w:val="24"/>
    </w:rPr>
  </w:style>
  <w:style w:type="paragraph" w:customStyle="1" w:styleId="73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73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kern w:val="0"/>
      <w:sz w:val="24"/>
    </w:rPr>
  </w:style>
  <w:style w:type="paragraph" w:customStyle="1" w:styleId="73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73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4"/>
    </w:rPr>
  </w:style>
  <w:style w:type="paragraph" w:customStyle="1" w:styleId="736">
    <w:name w:val="xl84"/>
    <w:basedOn w:val="1"/>
    <w:qFormat/>
    <w:uiPriority w:val="0"/>
    <w:pPr>
      <w:widowControl/>
      <w:spacing w:before="100" w:beforeAutospacing="1" w:after="100" w:afterAutospacing="1" w:line="240" w:lineRule="auto"/>
      <w:jc w:val="center"/>
    </w:pPr>
    <w:rPr>
      <w:rFonts w:ascii="仿宋_GB2312" w:hAnsi="宋体" w:eastAsia="仿宋_GB2312" w:cs="宋体"/>
      <w:kern w:val="0"/>
      <w:sz w:val="24"/>
    </w:rPr>
  </w:style>
  <w:style w:type="paragraph" w:customStyle="1" w:styleId="737">
    <w:name w:val="xl85"/>
    <w:basedOn w:val="1"/>
    <w:qFormat/>
    <w:uiPriority w:val="0"/>
    <w:pPr>
      <w:widowControl/>
      <w:spacing w:before="100" w:beforeAutospacing="1" w:after="100" w:afterAutospacing="1" w:line="240" w:lineRule="auto"/>
      <w:jc w:val="center"/>
    </w:pPr>
    <w:rPr>
      <w:rFonts w:ascii="仿宋_GB2312" w:hAnsi="宋体" w:eastAsia="仿宋_GB2312" w:cs="宋体"/>
      <w:kern w:val="0"/>
      <w:sz w:val="24"/>
    </w:rPr>
  </w:style>
  <w:style w:type="paragraph" w:customStyle="1" w:styleId="738">
    <w:name w:val="列出段落11"/>
    <w:basedOn w:val="1"/>
    <w:qFormat/>
    <w:uiPriority w:val="34"/>
    <w:pPr>
      <w:spacing w:line="240" w:lineRule="auto"/>
      <w:ind w:firstLine="420" w:firstLineChars="200"/>
    </w:pPr>
    <w:rPr>
      <w:rFonts w:ascii="Calibri" w:hAnsi="Calibri"/>
      <w:szCs w:val="22"/>
    </w:rPr>
  </w:style>
  <w:style w:type="paragraph" w:customStyle="1" w:styleId="739">
    <w:name w:val="修订11"/>
    <w:hidden/>
    <w:qFormat/>
    <w:uiPriority w:val="99"/>
    <w:rPr>
      <w:rFonts w:ascii="Times New Roman" w:hAnsi="Times New Roman" w:eastAsia="宋体" w:cs="Times New Roman"/>
      <w:kern w:val="2"/>
      <w:sz w:val="21"/>
      <w:szCs w:val="24"/>
      <w:lang w:val="en-US" w:eastAsia="zh-CN" w:bidi="ar-SA"/>
    </w:rPr>
  </w:style>
  <w:style w:type="paragraph" w:customStyle="1" w:styleId="740">
    <w:name w:val="TOC 标题1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741">
    <w:name w:val="列出段落2"/>
    <w:basedOn w:val="1"/>
    <w:qFormat/>
    <w:uiPriority w:val="34"/>
    <w:pPr>
      <w:spacing w:line="240" w:lineRule="auto"/>
      <w:ind w:firstLine="420" w:firstLineChars="200"/>
    </w:pPr>
    <w:rPr>
      <w:rFonts w:ascii="Calibri" w:hAnsi="Calibri"/>
      <w:szCs w:val="22"/>
    </w:rPr>
  </w:style>
  <w:style w:type="paragraph" w:customStyle="1" w:styleId="742">
    <w:name w:val="修订21"/>
    <w:hidden/>
    <w:qFormat/>
    <w:uiPriority w:val="99"/>
    <w:rPr>
      <w:rFonts w:ascii="Times New Roman" w:hAnsi="Times New Roman" w:eastAsia="宋体" w:cs="Times New Roman"/>
      <w:kern w:val="2"/>
      <w:sz w:val="21"/>
      <w:szCs w:val="24"/>
      <w:lang w:val="en-US" w:eastAsia="zh-CN" w:bidi="ar-SA"/>
    </w:rPr>
  </w:style>
  <w:style w:type="paragraph" w:customStyle="1" w:styleId="743">
    <w:name w:val="xl8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744">
    <w:name w:val="xl825"/>
    <w:basedOn w:val="1"/>
    <w:qFormat/>
    <w:uiPriority w:val="0"/>
    <w:pPr>
      <w:widowControl/>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745">
    <w:name w:val="xl8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746">
    <w:name w:val="xl8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747">
    <w:name w:val="xl828"/>
    <w:basedOn w:val="1"/>
    <w:qFormat/>
    <w:uiPriority w:val="0"/>
    <w:pPr>
      <w:widowControl/>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748">
    <w:name w:val="xl829"/>
    <w:basedOn w:val="1"/>
    <w:qFormat/>
    <w:uiPriority w:val="0"/>
    <w:pPr>
      <w:widowControl/>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749">
    <w:name w:val="xl830"/>
    <w:basedOn w:val="1"/>
    <w:qFormat/>
    <w:uiPriority w:val="0"/>
    <w:pPr>
      <w:widowControl/>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750">
    <w:name w:val="TOC 标题2"/>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751">
    <w:name w:val="无间隔2"/>
    <w:link w:val="752"/>
    <w:qFormat/>
    <w:uiPriority w:val="1"/>
    <w:pPr>
      <w:widowControl w:val="0"/>
      <w:spacing w:line="312" w:lineRule="auto"/>
      <w:ind w:firstLine="200" w:firstLineChars="200"/>
      <w:jc w:val="both"/>
    </w:pPr>
    <w:rPr>
      <w:rFonts w:ascii="Calibri" w:hAnsi="Calibri" w:eastAsia="宋体" w:cs="Times New Roman"/>
      <w:kern w:val="2"/>
      <w:sz w:val="24"/>
      <w:szCs w:val="22"/>
      <w:lang w:val="en-US" w:eastAsia="zh-CN" w:bidi="ar-SA"/>
    </w:rPr>
  </w:style>
  <w:style w:type="character" w:customStyle="1" w:styleId="752">
    <w:name w:val="无间隔 Char1"/>
    <w:basedOn w:val="96"/>
    <w:link w:val="751"/>
    <w:qFormat/>
    <w:uiPriority w:val="1"/>
    <w:rPr>
      <w:kern w:val="2"/>
      <w:sz w:val="24"/>
      <w:szCs w:val="22"/>
    </w:rPr>
  </w:style>
  <w:style w:type="character" w:customStyle="1" w:styleId="753">
    <w:name w:val="书籍标题2"/>
    <w:qFormat/>
    <w:uiPriority w:val="33"/>
    <w:rPr>
      <w:b/>
      <w:bCs/>
      <w:smallCaps/>
      <w:spacing w:val="5"/>
    </w:rPr>
  </w:style>
  <w:style w:type="character" w:customStyle="1" w:styleId="754">
    <w:name w:val="z-窗体顶端 Char2"/>
    <w:basedOn w:val="96"/>
    <w:link w:val="755"/>
    <w:qFormat/>
    <w:uiPriority w:val="99"/>
    <w:rPr>
      <w:rFonts w:ascii="Arial" w:hAnsi="Arial" w:cs="Arial"/>
      <w:vanish/>
      <w:sz w:val="16"/>
      <w:szCs w:val="16"/>
    </w:rPr>
  </w:style>
  <w:style w:type="paragraph" w:customStyle="1" w:styleId="755">
    <w:name w:val="z-窗体顶端2"/>
    <w:basedOn w:val="1"/>
    <w:next w:val="1"/>
    <w:link w:val="754"/>
    <w:unhideWhenUsed/>
    <w:qFormat/>
    <w:uiPriority w:val="99"/>
    <w:pPr>
      <w:widowControl/>
      <w:pBdr>
        <w:bottom w:val="single" w:color="auto" w:sz="6" w:space="1"/>
      </w:pBdr>
      <w:spacing w:line="240" w:lineRule="auto"/>
      <w:jc w:val="center"/>
    </w:pPr>
    <w:rPr>
      <w:rFonts w:ascii="Arial" w:hAnsi="Arial" w:cs="Arial"/>
      <w:vanish/>
      <w:kern w:val="0"/>
      <w:sz w:val="16"/>
      <w:szCs w:val="16"/>
    </w:rPr>
  </w:style>
  <w:style w:type="paragraph" w:customStyle="1" w:styleId="756">
    <w:name w:val="z-窗体底端2"/>
    <w:basedOn w:val="1"/>
    <w:next w:val="1"/>
    <w:link w:val="757"/>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character" w:customStyle="1" w:styleId="757">
    <w:name w:val="z-窗体底端 Char1"/>
    <w:basedOn w:val="96"/>
    <w:link w:val="756"/>
    <w:qFormat/>
    <w:uiPriority w:val="99"/>
    <w:rPr>
      <w:rFonts w:ascii="Arial" w:hAnsi="Arial" w:cs="Arial"/>
      <w:vanish/>
      <w:sz w:val="16"/>
      <w:szCs w:val="16"/>
    </w:rPr>
  </w:style>
  <w:style w:type="paragraph" w:customStyle="1" w:styleId="758">
    <w:name w:val="修订3"/>
    <w:hidden/>
    <w:qFormat/>
    <w:uiPriority w:val="99"/>
    <w:rPr>
      <w:rFonts w:ascii="Times New Roman" w:hAnsi="Times New Roman" w:eastAsia="宋体" w:cs="Times New Roman"/>
      <w:kern w:val="2"/>
      <w:sz w:val="21"/>
      <w:szCs w:val="24"/>
      <w:lang w:val="en-US" w:eastAsia="zh-CN" w:bidi="ar-SA"/>
    </w:rPr>
  </w:style>
  <w:style w:type="paragraph" w:customStyle="1" w:styleId="759">
    <w:name w:val="Table Paragraph"/>
    <w:basedOn w:val="1"/>
    <w:qFormat/>
    <w:uiPriority w:val="1"/>
    <w:pPr>
      <w:autoSpaceDE w:val="0"/>
      <w:autoSpaceDN w:val="0"/>
      <w:spacing w:line="240" w:lineRule="auto"/>
      <w:jc w:val="center"/>
    </w:pPr>
    <w:rPr>
      <w:rFonts w:eastAsia="Times New Roman"/>
      <w:kern w:val="0"/>
      <w:sz w:val="22"/>
      <w:szCs w:val="22"/>
      <w:lang w:eastAsia="en-US"/>
    </w:rPr>
  </w:style>
  <w:style w:type="paragraph" w:customStyle="1" w:styleId="760">
    <w:name w:val="xl8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_GB2312" w:hAnsi="宋体" w:eastAsia="仿宋_GB2312" w:cs="宋体"/>
      <w:b/>
      <w:bCs/>
      <w:kern w:val="0"/>
      <w:sz w:val="22"/>
      <w:szCs w:val="22"/>
    </w:rPr>
  </w:style>
  <w:style w:type="paragraph" w:customStyle="1" w:styleId="761">
    <w:name w:val="xl832"/>
    <w:basedOn w:val="1"/>
    <w:qFormat/>
    <w:uiPriority w:val="0"/>
    <w:pPr>
      <w:widowControl/>
      <w:spacing w:before="100" w:beforeAutospacing="1" w:after="100" w:afterAutospacing="1" w:line="240" w:lineRule="auto"/>
      <w:jc w:val="center"/>
      <w:textAlignment w:val="center"/>
    </w:pPr>
    <w:rPr>
      <w:kern w:val="0"/>
      <w:sz w:val="22"/>
      <w:szCs w:val="22"/>
    </w:rPr>
  </w:style>
  <w:style w:type="paragraph" w:customStyle="1" w:styleId="762">
    <w:name w:val="xl8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color w:val="000000"/>
      <w:kern w:val="0"/>
      <w:sz w:val="22"/>
      <w:szCs w:val="22"/>
    </w:rPr>
  </w:style>
  <w:style w:type="paragraph" w:customStyle="1" w:styleId="763">
    <w:name w:val="xl834"/>
    <w:basedOn w:val="1"/>
    <w:qFormat/>
    <w:uiPriority w:val="0"/>
    <w:pPr>
      <w:widowControl/>
      <w:spacing w:before="100" w:beforeAutospacing="1" w:after="100" w:afterAutospacing="1" w:line="240" w:lineRule="auto"/>
      <w:jc w:val="center"/>
    </w:pPr>
    <w:rPr>
      <w:kern w:val="0"/>
      <w:sz w:val="22"/>
      <w:szCs w:val="22"/>
    </w:rPr>
  </w:style>
  <w:style w:type="paragraph" w:customStyle="1" w:styleId="764">
    <w:name w:val="xl8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b/>
      <w:bCs/>
      <w:kern w:val="0"/>
      <w:sz w:val="22"/>
      <w:szCs w:val="22"/>
    </w:rPr>
  </w:style>
  <w:style w:type="paragraph" w:customStyle="1" w:styleId="765">
    <w:name w:val="xl8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_GB2312" w:hAnsi="宋体" w:eastAsia="仿宋_GB2312" w:cs="宋体"/>
      <w:kern w:val="0"/>
      <w:sz w:val="22"/>
      <w:szCs w:val="22"/>
    </w:rPr>
  </w:style>
  <w:style w:type="paragraph" w:customStyle="1" w:styleId="766">
    <w:name w:val="xl8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b/>
      <w:bCs/>
      <w:kern w:val="0"/>
      <w:sz w:val="22"/>
      <w:szCs w:val="22"/>
    </w:rPr>
  </w:style>
  <w:style w:type="paragraph" w:customStyle="1" w:styleId="767">
    <w:name w:val="xl8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kern w:val="0"/>
      <w:sz w:val="22"/>
      <w:szCs w:val="22"/>
    </w:rPr>
  </w:style>
  <w:style w:type="character" w:customStyle="1" w:styleId="768">
    <w:name w:val="fontstyle01"/>
    <w:basedOn w:val="96"/>
    <w:qFormat/>
    <w:uiPriority w:val="0"/>
    <w:rPr>
      <w:rFonts w:hint="eastAsia" w:ascii="仿宋_GB2312" w:eastAsia="仿宋_GB2312"/>
      <w:color w:val="000000"/>
      <w:sz w:val="24"/>
      <w:szCs w:val="24"/>
    </w:rPr>
  </w:style>
  <w:style w:type="character" w:customStyle="1" w:styleId="769">
    <w:name w:val="fontstyle21"/>
    <w:basedOn w:val="96"/>
    <w:qFormat/>
    <w:uiPriority w:val="0"/>
    <w:rPr>
      <w:rFonts w:hint="default" w:ascii="Times New Roman" w:hAnsi="Times New Roman" w:cs="Times New Roman"/>
      <w:color w:val="000000"/>
      <w:sz w:val="24"/>
      <w:szCs w:val="24"/>
    </w:rPr>
  </w:style>
  <w:style w:type="character" w:customStyle="1" w:styleId="770">
    <w:name w:val="书籍标题3"/>
    <w:qFormat/>
    <w:uiPriority w:val="33"/>
    <w:rPr>
      <w:b/>
      <w:bCs/>
      <w:smallCaps/>
      <w:spacing w:val="5"/>
    </w:rPr>
  </w:style>
  <w:style w:type="paragraph" w:customStyle="1" w:styleId="771">
    <w:name w:val="z-窗体顶端3"/>
    <w:basedOn w:val="1"/>
    <w:next w:val="1"/>
    <w:unhideWhenUsed/>
    <w:qFormat/>
    <w:uiPriority w:val="99"/>
    <w:pPr>
      <w:widowControl/>
      <w:pBdr>
        <w:bottom w:val="single" w:color="auto" w:sz="6" w:space="1"/>
      </w:pBdr>
      <w:spacing w:line="240" w:lineRule="auto"/>
      <w:jc w:val="center"/>
    </w:pPr>
    <w:rPr>
      <w:rFonts w:ascii="Arial" w:hAnsi="Arial" w:cs="Arial"/>
      <w:vanish/>
      <w:kern w:val="0"/>
      <w:sz w:val="16"/>
      <w:szCs w:val="16"/>
    </w:rPr>
  </w:style>
  <w:style w:type="paragraph" w:customStyle="1" w:styleId="772">
    <w:name w:val="z-窗体底端3"/>
    <w:basedOn w:val="1"/>
    <w:next w:val="1"/>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paragraph" w:customStyle="1" w:styleId="773">
    <w:name w:val="TOC 标题3"/>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774">
    <w:name w:val="修订4"/>
    <w:hidden/>
    <w:qFormat/>
    <w:uiPriority w:val="99"/>
    <w:rPr>
      <w:rFonts w:ascii="Calibri" w:hAnsi="Calibri" w:eastAsia="宋体" w:cs="Times New Roman"/>
      <w:kern w:val="2"/>
      <w:sz w:val="21"/>
      <w:szCs w:val="22"/>
      <w:lang w:val="en-US" w:eastAsia="zh-CN" w:bidi="ar-SA"/>
    </w:rPr>
  </w:style>
  <w:style w:type="character" w:customStyle="1" w:styleId="775">
    <w:name w:val="批注文字 字符1"/>
    <w:qFormat/>
    <w:uiPriority w:val="0"/>
    <w:rPr>
      <w:rFonts w:ascii="Times New Roman" w:hAnsi="Times New Roman" w:eastAsia="宋体" w:cs="Times New Roman"/>
      <w:szCs w:val="24"/>
    </w:rPr>
  </w:style>
  <w:style w:type="character" w:customStyle="1" w:styleId="776">
    <w:name w:val="批注框文本 字符1"/>
    <w:qFormat/>
    <w:uiPriority w:val="0"/>
    <w:rPr>
      <w:rFonts w:ascii="Calibri" w:hAnsi="Calibri" w:eastAsia="宋体" w:cs="Times New Roman"/>
      <w:sz w:val="18"/>
      <w:szCs w:val="18"/>
    </w:rPr>
  </w:style>
  <w:style w:type="character" w:customStyle="1" w:styleId="777">
    <w:name w:val="标题 2 字符1"/>
    <w:qFormat/>
    <w:uiPriority w:val="0"/>
    <w:rPr>
      <w:rFonts w:ascii="仿宋_GB2312" w:hAnsi="宋体" w:eastAsia="仿宋_GB2312" w:cs="Times New Roman"/>
      <w:b/>
      <w:bCs/>
      <w:kern w:val="24"/>
      <w:sz w:val="24"/>
      <w:szCs w:val="30"/>
    </w:rPr>
  </w:style>
  <w:style w:type="character" w:customStyle="1" w:styleId="778">
    <w:name w:val="标题 1 字符1"/>
    <w:qFormat/>
    <w:uiPriority w:val="0"/>
    <w:rPr>
      <w:rFonts w:ascii="仿宋_GB2312" w:hAnsi="华文宋体" w:eastAsia="仿宋_GB2312" w:cs="Times New Roman"/>
      <w:b/>
      <w:bCs/>
      <w:kern w:val="48"/>
      <w:sz w:val="30"/>
      <w:szCs w:val="30"/>
    </w:rPr>
  </w:style>
  <w:style w:type="character" w:customStyle="1" w:styleId="779">
    <w:name w:val="标题 3 字符1"/>
    <w:qFormat/>
    <w:uiPriority w:val="0"/>
    <w:rPr>
      <w:rFonts w:ascii="Calibri" w:hAnsi="Calibri" w:eastAsia="宋体" w:cs="Times New Roman"/>
      <w:b/>
      <w:bCs/>
      <w:sz w:val="32"/>
      <w:szCs w:val="32"/>
    </w:rPr>
  </w:style>
  <w:style w:type="character" w:customStyle="1" w:styleId="780">
    <w:name w:val="标题 4 字符1"/>
    <w:qFormat/>
    <w:uiPriority w:val="0"/>
    <w:rPr>
      <w:rFonts w:ascii="Arial" w:hAnsi="Arial" w:eastAsia="黑体" w:cs="Times New Roman"/>
      <w:b/>
      <w:bCs/>
      <w:kern w:val="28"/>
      <w:sz w:val="28"/>
      <w:szCs w:val="28"/>
    </w:rPr>
  </w:style>
  <w:style w:type="character" w:customStyle="1" w:styleId="781">
    <w:name w:val="标题 5 字符1"/>
    <w:qFormat/>
    <w:uiPriority w:val="0"/>
    <w:rPr>
      <w:rFonts w:ascii="宋体" w:hAnsi="宋体" w:eastAsia="仿宋_GB2312" w:cs="Times New Roman"/>
      <w:b/>
      <w:kern w:val="24"/>
      <w:sz w:val="28"/>
      <w:szCs w:val="20"/>
    </w:rPr>
  </w:style>
  <w:style w:type="character" w:customStyle="1" w:styleId="782">
    <w:name w:val="标题 6 字符1"/>
    <w:qFormat/>
    <w:uiPriority w:val="0"/>
    <w:rPr>
      <w:rFonts w:ascii="Arial Black" w:hAnsi="Arial Black" w:eastAsia="宋体" w:cs="Times New Roman"/>
      <w:spacing w:val="-5"/>
      <w:kern w:val="20"/>
      <w:sz w:val="18"/>
      <w:szCs w:val="20"/>
    </w:rPr>
  </w:style>
  <w:style w:type="character" w:customStyle="1" w:styleId="783">
    <w:name w:val="标题 7 字符1"/>
    <w:qFormat/>
    <w:uiPriority w:val="0"/>
    <w:rPr>
      <w:rFonts w:ascii="Arial Black" w:hAnsi="Arial Black" w:eastAsia="宋体" w:cs="Times New Roman"/>
      <w:spacing w:val="-5"/>
      <w:kern w:val="20"/>
      <w:sz w:val="18"/>
      <w:szCs w:val="20"/>
    </w:rPr>
  </w:style>
  <w:style w:type="character" w:customStyle="1" w:styleId="784">
    <w:name w:val="标题 8 字符1"/>
    <w:qFormat/>
    <w:uiPriority w:val="0"/>
    <w:rPr>
      <w:rFonts w:ascii="Arial Black" w:hAnsi="Arial Black" w:eastAsia="宋体" w:cs="Times New Roman"/>
      <w:spacing w:val="-5"/>
      <w:kern w:val="20"/>
      <w:sz w:val="18"/>
      <w:szCs w:val="20"/>
    </w:rPr>
  </w:style>
  <w:style w:type="character" w:customStyle="1" w:styleId="785">
    <w:name w:val="标题 9 字符1"/>
    <w:qFormat/>
    <w:uiPriority w:val="0"/>
    <w:rPr>
      <w:rFonts w:ascii="Arial Black" w:hAnsi="Arial Black" w:eastAsia="宋体" w:cs="Times New Roman"/>
      <w:spacing w:val="-5"/>
      <w:kern w:val="20"/>
      <w:sz w:val="18"/>
      <w:szCs w:val="20"/>
    </w:rPr>
  </w:style>
  <w:style w:type="character" w:customStyle="1" w:styleId="786">
    <w:name w:val="页眉 字符1"/>
    <w:qFormat/>
    <w:uiPriority w:val="0"/>
    <w:rPr>
      <w:rFonts w:ascii="Times New Roman" w:hAnsi="Times New Roman" w:eastAsia="宋体" w:cs="Times New Roman"/>
      <w:sz w:val="18"/>
      <w:szCs w:val="18"/>
    </w:rPr>
  </w:style>
  <w:style w:type="character" w:customStyle="1" w:styleId="787">
    <w:name w:val="页脚 字符1"/>
    <w:qFormat/>
    <w:uiPriority w:val="0"/>
    <w:rPr>
      <w:rFonts w:ascii="Times New Roman" w:hAnsi="Times New Roman" w:eastAsia="宋体" w:cs="Times New Roman"/>
      <w:sz w:val="18"/>
      <w:szCs w:val="18"/>
    </w:rPr>
  </w:style>
  <w:style w:type="character" w:customStyle="1" w:styleId="788">
    <w:name w:val="日期 字符1"/>
    <w:qFormat/>
    <w:uiPriority w:val="0"/>
    <w:rPr>
      <w:rFonts w:ascii="Times New Roman" w:hAnsi="Times New Roman" w:eastAsia="仿宋_GB2312" w:cs="Times New Roman"/>
      <w:kern w:val="28"/>
      <w:sz w:val="24"/>
      <w:szCs w:val="24"/>
    </w:rPr>
  </w:style>
  <w:style w:type="paragraph" w:customStyle="1" w:styleId="789">
    <w:name w:val="TOC 标题4"/>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790">
    <w:name w:val="书籍标题4"/>
    <w:qFormat/>
    <w:uiPriority w:val="33"/>
    <w:rPr>
      <w:b/>
      <w:bCs/>
      <w:smallCaps/>
      <w:spacing w:val="5"/>
    </w:rPr>
  </w:style>
  <w:style w:type="paragraph" w:customStyle="1" w:styleId="791">
    <w:name w:val="z-窗体顶端4"/>
    <w:basedOn w:val="1"/>
    <w:next w:val="1"/>
    <w:link w:val="792"/>
    <w:unhideWhenUsed/>
    <w:qFormat/>
    <w:uiPriority w:val="99"/>
    <w:pPr>
      <w:widowControl/>
      <w:pBdr>
        <w:bottom w:val="single" w:color="auto" w:sz="6" w:space="1"/>
      </w:pBdr>
      <w:spacing w:line="240" w:lineRule="auto"/>
      <w:jc w:val="center"/>
    </w:pPr>
    <w:rPr>
      <w:rFonts w:ascii="Arial" w:hAnsi="Arial" w:cs="Arial"/>
      <w:vanish/>
      <w:sz w:val="16"/>
      <w:szCs w:val="16"/>
    </w:rPr>
  </w:style>
  <w:style w:type="character" w:customStyle="1" w:styleId="792">
    <w:name w:val="z-窗体顶端 字符3"/>
    <w:basedOn w:val="96"/>
    <w:link w:val="791"/>
    <w:qFormat/>
    <w:uiPriority w:val="99"/>
    <w:rPr>
      <w:rFonts w:ascii="Arial" w:hAnsi="Arial" w:cs="Arial"/>
      <w:vanish/>
      <w:kern w:val="2"/>
      <w:sz w:val="16"/>
      <w:szCs w:val="16"/>
    </w:rPr>
  </w:style>
  <w:style w:type="paragraph" w:customStyle="1" w:styleId="793">
    <w:name w:val="z-窗体底端4"/>
    <w:basedOn w:val="1"/>
    <w:next w:val="1"/>
    <w:link w:val="794"/>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character" w:customStyle="1" w:styleId="794">
    <w:name w:val="z-窗体底端 字符2"/>
    <w:basedOn w:val="96"/>
    <w:link w:val="793"/>
    <w:qFormat/>
    <w:uiPriority w:val="99"/>
    <w:rPr>
      <w:rFonts w:ascii="Arial" w:hAnsi="Arial" w:cs="Arial"/>
      <w:vanish/>
      <w:sz w:val="16"/>
      <w:szCs w:val="16"/>
    </w:rPr>
  </w:style>
  <w:style w:type="paragraph" w:customStyle="1" w:styleId="795">
    <w:name w:val="TOC 标题5"/>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796">
    <w:name w:val="书籍标题5"/>
    <w:qFormat/>
    <w:uiPriority w:val="33"/>
    <w:rPr>
      <w:b/>
      <w:bCs/>
      <w:smallCaps/>
      <w:spacing w:val="5"/>
    </w:rPr>
  </w:style>
  <w:style w:type="character" w:customStyle="1" w:styleId="797">
    <w:name w:val="占位符文本11"/>
    <w:semiHidden/>
    <w:qFormat/>
    <w:uiPriority w:val="99"/>
    <w:rPr>
      <w:color w:val="808080"/>
    </w:rPr>
  </w:style>
  <w:style w:type="character" w:customStyle="1" w:styleId="798">
    <w:name w:val="Body Text First Indent Char1"/>
    <w:basedOn w:val="112"/>
    <w:semiHidden/>
    <w:qFormat/>
    <w:uiPriority w:val="99"/>
    <w:rPr>
      <w:rFonts w:ascii="Times New Roman" w:hAnsi="Times New Roman" w:eastAsia="宋体" w:cs="Times New Roman"/>
      <w:kern w:val="2"/>
      <w:sz w:val="21"/>
      <w:szCs w:val="24"/>
    </w:rPr>
  </w:style>
  <w:style w:type="character" w:customStyle="1" w:styleId="799">
    <w:name w:val="Footnote Text Char1"/>
    <w:basedOn w:val="96"/>
    <w:semiHidden/>
    <w:qFormat/>
    <w:uiPriority w:val="99"/>
    <w:rPr>
      <w:rFonts w:ascii="Times New Roman" w:hAnsi="Times New Roman"/>
      <w:kern w:val="2"/>
      <w:sz w:val="18"/>
      <w:szCs w:val="18"/>
    </w:rPr>
  </w:style>
  <w:style w:type="character" w:customStyle="1" w:styleId="800">
    <w:name w:val="占位符文本2"/>
    <w:semiHidden/>
    <w:qFormat/>
    <w:uiPriority w:val="99"/>
    <w:rPr>
      <w:color w:val="808080"/>
    </w:rPr>
  </w:style>
  <w:style w:type="character" w:customStyle="1" w:styleId="801">
    <w:name w:val="z-窗体顶端 字符2"/>
    <w:basedOn w:val="96"/>
    <w:semiHidden/>
    <w:qFormat/>
    <w:uiPriority w:val="99"/>
    <w:rPr>
      <w:rFonts w:ascii="Arial" w:hAnsi="Arial" w:cs="Arial"/>
      <w:vanish/>
      <w:kern w:val="2"/>
      <w:sz w:val="16"/>
      <w:szCs w:val="16"/>
    </w:rPr>
  </w:style>
  <w:style w:type="character" w:customStyle="1" w:styleId="802">
    <w:name w:val="z-窗体底端 字符1"/>
    <w:basedOn w:val="96"/>
    <w:qFormat/>
    <w:uiPriority w:val="99"/>
    <w:rPr>
      <w:rFonts w:ascii="Arial" w:hAnsi="Arial" w:cs="Arial"/>
      <w:vanish/>
      <w:kern w:val="2"/>
      <w:sz w:val="16"/>
      <w:szCs w:val="16"/>
    </w:rPr>
  </w:style>
  <w:style w:type="table" w:customStyle="1" w:styleId="803">
    <w:name w:val="表格主题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4">
    <w:name w:val="典雅型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805">
    <w:name w:val="列表型 7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806">
    <w:name w:val="流行型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807">
    <w:name w:val="专业型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808">
    <w:name w:val="网格型16"/>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9">
    <w:name w:val="网格型2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网格型3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网格型4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2">
    <w:name w:val="网格型5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列表型 7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814">
    <w:name w:val="流行型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815">
    <w:name w:val="专业型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816">
    <w:name w:val="典雅型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817">
    <w:name w:val="网格型1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8">
    <w:name w:val="表格主题2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9">
    <w:name w:val="典雅型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820">
    <w:name w:val="列表型 31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821">
    <w:name w:val="列表型 7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22">
    <w:name w:val="流行型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23">
    <w:name w:val="专业型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824">
    <w:name w:val="列表型 7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25">
    <w:name w:val="列表型 31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826">
    <w:name w:val="专业型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827">
    <w:name w:val="流行型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28">
    <w:name w:val="典雅型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829">
    <w:name w:val="网格型13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表格主题2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1">
    <w:name w:val="典雅型2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832">
    <w:name w:val="列表型 72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833">
    <w:name w:val="流行型2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834">
    <w:name w:val="专业型2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835">
    <w:name w:val="网格型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6">
    <w:name w:val="网格型2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7">
    <w:name w:val="网格型3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8">
    <w:name w:val="网格型4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9">
    <w:name w:val="网格型5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0">
    <w:name w:val="列表型 7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41">
    <w:name w:val="流行型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42">
    <w:name w:val="列表型 71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43">
    <w:name w:val="流行型1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44">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845">
    <w:name w:val="网格型17"/>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6">
    <w:name w:val="表格主题4"/>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7">
    <w:name w:val="典雅型4"/>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848">
    <w:name w:val="列表型 32"/>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849">
    <w:name w:val="列表型 75"/>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50">
    <w:name w:val="流行型5"/>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51">
    <w:name w:val="专业型4"/>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852">
    <w:name w:val="网格型5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3">
    <w:name w:val="网格型3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4">
    <w:name w:val="网格型2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5">
    <w:name w:val="网格型18"/>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6">
    <w:name w:val="网格型4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7">
    <w:name w:val="网格型6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8">
    <w:name w:val="列表型 7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859">
    <w:name w:val="表格主题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0">
    <w:name w:val="流行型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861">
    <w:name w:val="专业型1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862">
    <w:name w:val="典雅型1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863">
    <w:name w:val="网格型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4">
    <w:name w:val="网格型2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5">
    <w:name w:val="网格型3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6">
    <w:name w:val="网格型4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7">
    <w:name w:val="网格型5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8">
    <w:name w:val="网格型7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9">
    <w:name w:val="网格型8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0">
    <w:name w:val="网格型9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1">
    <w:name w:val="网格型10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2">
    <w:name w:val="网格型12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3">
    <w:name w:val="列表型 31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874">
    <w:name w:val="网格型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5">
    <w:name w:val="表格主题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6">
    <w:name w:val="典雅型2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877">
    <w:name w:val="列表型 72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878">
    <w:name w:val="流行型2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879">
    <w:name w:val="专业型2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880">
    <w:name w:val="网格型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1">
    <w:name w:val="网格型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2">
    <w:name w:val="网格型3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3">
    <w:name w:val="网格型4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4">
    <w:name w:val="网格型5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5">
    <w:name w:val="列表型 73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86">
    <w:name w:val="流行型3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87">
    <w:name w:val="列表型 71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888">
    <w:name w:val="流行型1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889">
    <w:name w:val="专业型1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890">
    <w:name w:val="典雅型1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891">
    <w:name w:val="网格型15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2">
    <w:name w:val="表格主题3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3">
    <w:name w:val="典雅型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894">
    <w:name w:val="列表型 3MO1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895">
    <w:name w:val="列表型 74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896">
    <w:name w:val="流行型4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897">
    <w:name w:val="专业型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898">
    <w:name w:val="网格型16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9">
    <w:name w:val="网格型2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0">
    <w:name w:val="网格型3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1">
    <w:name w:val="网格型4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2">
    <w:name w:val="网格型53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3">
    <w:name w:val="网格型6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4">
    <w:name w:val="列表型 7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905">
    <w:name w:val="表格主题1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6">
    <w:name w:val="流行型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907">
    <w:name w:val="专业型1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908">
    <w:name w:val="典雅型1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909">
    <w:name w:val="网格型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网格型2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1">
    <w:name w:val="网格型3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2">
    <w:name w:val="网格型4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网格型5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4">
    <w:name w:val="网格型7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5">
    <w:name w:val="网格型8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6">
    <w:name w:val="网格型9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7">
    <w:name w:val="网格型10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8">
    <w:name w:val="网格型12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9">
    <w:name w:val="网格型13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表格主题2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典雅型2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922">
    <w:name w:val="列表型 3112"/>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923">
    <w:name w:val="列表型 72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924">
    <w:name w:val="流行型2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925">
    <w:name w:val="专业型2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926">
    <w:name w:val="列表型 711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927">
    <w:name w:val="列表型 311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928">
    <w:name w:val="专业型1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929">
    <w:name w:val="流行型11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930">
    <w:name w:val="典雅型1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931">
    <w:name w:val="网格型13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2">
    <w:name w:val="表格主题2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3">
    <w:name w:val="典雅型21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934">
    <w:name w:val="列表型 721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935">
    <w:name w:val="流行型21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936">
    <w:name w:val="专业型21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937">
    <w:name w:val="网格型14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8">
    <w:name w:val="网格型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9">
    <w:name w:val="网格型3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网格型4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1">
    <w:name w:val="网格型5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2">
    <w:name w:val="列表型 73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943">
    <w:name w:val="流行型3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944">
    <w:name w:val="列表型 711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945">
    <w:name w:val="流行型11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946">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paragraph" w:customStyle="1" w:styleId="947">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48">
    <w:name w:val="Char Char Char Char Char Char Char Char Char3"/>
    <w:basedOn w:val="1"/>
    <w:qFormat/>
    <w:uiPriority w:val="0"/>
    <w:pPr>
      <w:widowControl/>
      <w:spacing w:after="160" w:line="240" w:lineRule="exact"/>
      <w:jc w:val="left"/>
    </w:pPr>
    <w:rPr>
      <w:szCs w:val="20"/>
    </w:rPr>
  </w:style>
  <w:style w:type="table" w:customStyle="1" w:styleId="949">
    <w:name w:val="网格型19"/>
    <w:basedOn w:val="8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0">
    <w:name w:val="网格型20"/>
    <w:basedOn w:val="8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51">
    <w:name w:val="apple-converted-space"/>
    <w:qFormat/>
    <w:uiPriority w:val="0"/>
  </w:style>
  <w:style w:type="character" w:customStyle="1" w:styleId="952">
    <w:name w:val="脚注文本 字符2"/>
    <w:qFormat/>
    <w:uiPriority w:val="0"/>
    <w:rPr>
      <w:rFonts w:eastAsia="宋体"/>
      <w:kern w:val="2"/>
      <w:sz w:val="18"/>
      <w:szCs w:val="18"/>
      <w:lang w:val="en-US" w:eastAsia="zh-CN" w:bidi="ar-SA"/>
    </w:rPr>
  </w:style>
  <w:style w:type="character" w:customStyle="1" w:styleId="953">
    <w:name w:val="MTDisplayEquation Char"/>
    <w:link w:val="506"/>
    <w:qFormat/>
    <w:uiPriority w:val="0"/>
    <w:rPr>
      <w:rFonts w:ascii="仿宋_GB2312" w:hAnsi="Times New Roman" w:eastAsia="仿宋_GB2312"/>
      <w:kern w:val="2"/>
      <w:sz w:val="24"/>
      <w:szCs w:val="24"/>
    </w:rPr>
  </w:style>
  <w:style w:type="character" w:customStyle="1" w:styleId="954">
    <w:name w:val="正文首行缩进 字符2"/>
    <w:qFormat/>
    <w:uiPriority w:val="0"/>
    <w:rPr>
      <w:rFonts w:eastAsia="仿宋_GB2312"/>
      <w:kern w:val="28"/>
      <w:sz w:val="24"/>
      <w:szCs w:val="24"/>
      <w:lang w:val="en-US" w:eastAsia="zh-CN" w:bidi="ar-SA"/>
    </w:rPr>
  </w:style>
  <w:style w:type="paragraph" w:customStyle="1" w:styleId="955">
    <w:name w:val="TOC 标题6"/>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956">
    <w:name w:val="Char Char13"/>
    <w:qFormat/>
    <w:uiPriority w:val="0"/>
    <w:rPr>
      <w:b/>
      <w:bCs/>
      <w:kern w:val="2"/>
      <w:sz w:val="32"/>
      <w:szCs w:val="32"/>
    </w:rPr>
  </w:style>
  <w:style w:type="character" w:customStyle="1" w:styleId="957">
    <w:name w:val="Char Char3311"/>
    <w:qFormat/>
    <w:uiPriority w:val="0"/>
    <w:rPr>
      <w:rFonts w:eastAsia="宋体"/>
      <w:b/>
      <w:bCs/>
      <w:kern w:val="2"/>
      <w:sz w:val="28"/>
      <w:szCs w:val="28"/>
      <w:lang w:val="en-US" w:eastAsia="zh-CN" w:bidi="ar-SA"/>
    </w:rPr>
  </w:style>
  <w:style w:type="paragraph" w:customStyle="1" w:styleId="958">
    <w:name w:val="Char Char Char Char Char Char Char Char Char Char Char Char1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59">
    <w:name w:val="Char Char Char Char Char Char Char Char Char Char Char Char Char Char Char Char Char Char Char Char Char Char Char Char Char Char Char Char Char Char11"/>
    <w:basedOn w:val="1"/>
    <w:qFormat/>
    <w:uiPriority w:val="0"/>
    <w:pPr>
      <w:spacing w:line="240" w:lineRule="auto"/>
    </w:pPr>
    <w:rPr>
      <w:szCs w:val="20"/>
    </w:rPr>
  </w:style>
  <w:style w:type="paragraph" w:customStyle="1" w:styleId="960">
    <w:name w:val="Char Char Char Char21"/>
    <w:basedOn w:val="1"/>
    <w:qFormat/>
    <w:uiPriority w:val="0"/>
    <w:pPr>
      <w:spacing w:line="240" w:lineRule="auto"/>
    </w:pPr>
    <w:rPr>
      <w:rFonts w:ascii="Tahoma" w:hAnsi="Tahoma"/>
      <w:sz w:val="24"/>
      <w:szCs w:val="20"/>
    </w:rPr>
  </w:style>
  <w:style w:type="paragraph" w:customStyle="1" w:styleId="961">
    <w:name w:val="Char111"/>
    <w:basedOn w:val="1"/>
    <w:qFormat/>
    <w:uiPriority w:val="0"/>
    <w:pPr>
      <w:spacing w:line="240" w:lineRule="auto"/>
    </w:pPr>
    <w:rPr>
      <w:sz w:val="24"/>
      <w:szCs w:val="20"/>
    </w:rPr>
  </w:style>
  <w:style w:type="paragraph" w:customStyle="1" w:styleId="962">
    <w:name w:val="Char Char1 Char Char Char Char Char Char Char Char Char Char4"/>
    <w:basedOn w:val="1"/>
    <w:qFormat/>
    <w:uiPriority w:val="0"/>
    <w:pPr>
      <w:spacing w:line="240" w:lineRule="auto"/>
    </w:pPr>
    <w:rPr>
      <w:rFonts w:ascii="Tahoma" w:hAnsi="Tahoma"/>
      <w:sz w:val="24"/>
      <w:szCs w:val="20"/>
    </w:rPr>
  </w:style>
  <w:style w:type="paragraph" w:customStyle="1" w:styleId="963">
    <w:name w:val="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964">
    <w:name w:val="Char Char23 Char Char Char Char1"/>
    <w:basedOn w:val="1"/>
    <w:qFormat/>
    <w:uiPriority w:val="0"/>
    <w:pPr>
      <w:adjustRightInd w:val="0"/>
      <w:snapToGrid w:val="0"/>
      <w:spacing w:line="380" w:lineRule="exact"/>
    </w:pPr>
    <w:rPr>
      <w:sz w:val="24"/>
      <w:szCs w:val="20"/>
    </w:rPr>
  </w:style>
  <w:style w:type="paragraph" w:customStyle="1" w:styleId="965">
    <w:name w:val="Char6"/>
    <w:basedOn w:val="1"/>
    <w:qFormat/>
    <w:uiPriority w:val="0"/>
    <w:pPr>
      <w:spacing w:line="240" w:lineRule="auto"/>
    </w:pPr>
    <w:rPr>
      <w:rFonts w:ascii="Tahoma" w:hAnsi="Tahoma"/>
      <w:sz w:val="24"/>
      <w:szCs w:val="20"/>
    </w:rPr>
  </w:style>
  <w:style w:type="paragraph" w:customStyle="1" w:styleId="966">
    <w:name w:val="Char2 Char Char Char Char Char Char Char Char4"/>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967">
    <w:name w:val="Char Char1 Char Char Char Char Char Char Char Char Char Char11"/>
    <w:basedOn w:val="1"/>
    <w:qFormat/>
    <w:uiPriority w:val="0"/>
    <w:pPr>
      <w:spacing w:line="240" w:lineRule="auto"/>
    </w:pPr>
    <w:rPr>
      <w:rFonts w:ascii="Tahoma" w:hAnsi="Tahoma"/>
      <w:sz w:val="24"/>
      <w:szCs w:val="20"/>
    </w:rPr>
  </w:style>
  <w:style w:type="paragraph" w:customStyle="1" w:styleId="968">
    <w:name w:val="Char Char Char Char Char Char Char Char Char Char Char Char Char11"/>
    <w:basedOn w:val="1"/>
    <w:qFormat/>
    <w:uiPriority w:val="0"/>
    <w:pPr>
      <w:spacing w:line="360" w:lineRule="auto"/>
      <w:ind w:firstLine="200" w:firstLineChars="200"/>
    </w:pPr>
    <w:rPr>
      <w:rFonts w:ascii="宋体" w:hAnsi="宋体" w:cs="宋体"/>
      <w:sz w:val="24"/>
    </w:rPr>
  </w:style>
  <w:style w:type="paragraph" w:customStyle="1" w:styleId="969">
    <w:name w:val="Char2 Char Char Char Char Char Char Char Char1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970">
    <w:name w:val="Char41"/>
    <w:basedOn w:val="1"/>
    <w:qFormat/>
    <w:uiPriority w:val="0"/>
    <w:pPr>
      <w:spacing w:line="240" w:lineRule="auto"/>
    </w:pPr>
    <w:rPr>
      <w:rFonts w:ascii="Tahoma" w:hAnsi="Tahoma"/>
      <w:sz w:val="24"/>
      <w:szCs w:val="20"/>
    </w:rPr>
  </w:style>
  <w:style w:type="paragraph" w:customStyle="1" w:styleId="971">
    <w:name w:val="Char Char Char Char11"/>
    <w:basedOn w:val="1"/>
    <w:qFormat/>
    <w:uiPriority w:val="0"/>
    <w:pPr>
      <w:spacing w:line="240" w:lineRule="auto"/>
    </w:pPr>
    <w:rPr>
      <w:rFonts w:ascii="宋体" w:hAnsi="宋体" w:cs="Courier New"/>
      <w:szCs w:val="32"/>
    </w:rPr>
  </w:style>
  <w:style w:type="paragraph" w:customStyle="1" w:styleId="972">
    <w:name w:val="_Style 380"/>
    <w:qFormat/>
    <w:uiPriority w:val="0"/>
    <w:pPr>
      <w:widowControl w:val="0"/>
      <w:spacing w:line="440" w:lineRule="exact"/>
      <w:jc w:val="both"/>
    </w:pPr>
    <w:rPr>
      <w:rFonts w:ascii="Times New Roman" w:hAnsi="Times New Roman" w:eastAsia="宋体" w:cs="Times New Roman"/>
      <w:kern w:val="2"/>
      <w:sz w:val="21"/>
      <w:szCs w:val="24"/>
      <w:lang w:val="en-US" w:eastAsia="zh-CN" w:bidi="ar-SA"/>
    </w:rPr>
  </w:style>
  <w:style w:type="paragraph" w:customStyle="1" w:styleId="973">
    <w:name w:val="修订6"/>
    <w:hidden/>
    <w:qFormat/>
    <w:uiPriority w:val="99"/>
    <w:rPr>
      <w:rFonts w:ascii="Times New Roman" w:hAnsi="Times New Roman" w:eastAsia="宋体" w:cs="Times New Roman"/>
      <w:kern w:val="2"/>
      <w:sz w:val="21"/>
      <w:szCs w:val="24"/>
      <w:lang w:val="en-US" w:eastAsia="zh-CN" w:bidi="ar-SA"/>
    </w:rPr>
  </w:style>
  <w:style w:type="paragraph" w:customStyle="1" w:styleId="974">
    <w:name w:val="Char Char Char Char Char Char Char Char Char31"/>
    <w:basedOn w:val="1"/>
    <w:qFormat/>
    <w:uiPriority w:val="0"/>
    <w:pPr>
      <w:widowControl/>
      <w:spacing w:after="160" w:line="240" w:lineRule="exact"/>
      <w:jc w:val="left"/>
    </w:pPr>
    <w:rPr>
      <w:szCs w:val="20"/>
    </w:rPr>
  </w:style>
  <w:style w:type="paragraph" w:customStyle="1" w:styleId="975">
    <w:name w:val="修订61"/>
    <w:hidden/>
    <w:qFormat/>
    <w:uiPriority w:val="99"/>
    <w:rPr>
      <w:rFonts w:ascii="Times New Roman" w:hAnsi="Times New Roman" w:eastAsia="宋体" w:cs="Times New Roman"/>
      <w:kern w:val="2"/>
      <w:sz w:val="21"/>
      <w:szCs w:val="24"/>
      <w:lang w:val="en-US" w:eastAsia="zh-CN" w:bidi="ar-SA"/>
    </w:rPr>
  </w:style>
  <w:style w:type="paragraph" w:customStyle="1" w:styleId="976">
    <w:name w:val="日期1"/>
    <w:basedOn w:val="1"/>
    <w:next w:val="1"/>
    <w:qFormat/>
    <w:uiPriority w:val="0"/>
    <w:pPr>
      <w:adjustRightInd w:val="0"/>
      <w:spacing w:line="312" w:lineRule="atLeast"/>
      <w:textAlignment w:val="baseline"/>
    </w:pPr>
    <w:rPr>
      <w:rFonts w:ascii="仿宋体" w:eastAsia="仿宋体"/>
      <w:kern w:val="0"/>
      <w:sz w:val="28"/>
      <w:szCs w:val="20"/>
    </w:rPr>
  </w:style>
  <w:style w:type="paragraph" w:customStyle="1" w:styleId="977">
    <w:name w:val="TOC 标题7"/>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978">
    <w:name w:val="font71"/>
    <w:basedOn w:val="96"/>
    <w:qFormat/>
    <w:uiPriority w:val="0"/>
    <w:rPr>
      <w:rFonts w:ascii="仿宋_GB2312" w:eastAsia="仿宋_GB2312" w:cs="仿宋_GB2312"/>
      <w:b/>
      <w:bCs/>
      <w:color w:val="000000"/>
      <w:sz w:val="24"/>
      <w:szCs w:val="24"/>
      <w:u w:val="none"/>
    </w:rPr>
  </w:style>
  <w:style w:type="paragraph" w:customStyle="1" w:styleId="979">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980">
    <w:name w:val="修订8"/>
    <w:hidden/>
    <w:semiHidden/>
    <w:qFormat/>
    <w:uiPriority w:val="99"/>
    <w:rPr>
      <w:rFonts w:ascii="Times New Roman" w:hAnsi="Times New Roman" w:eastAsia="宋体" w:cs="Times New Roman"/>
      <w:kern w:val="2"/>
      <w:sz w:val="21"/>
      <w:szCs w:val="24"/>
      <w:lang w:val="en-US" w:eastAsia="zh-CN" w:bidi="ar-SA"/>
    </w:rPr>
  </w:style>
  <w:style w:type="character" w:customStyle="1" w:styleId="981">
    <w:name w:val="font41"/>
    <w:basedOn w:val="96"/>
    <w:qFormat/>
    <w:uiPriority w:val="0"/>
    <w:rPr>
      <w:rFonts w:ascii="仿宋_GB2312" w:eastAsia="仿宋_GB2312" w:cs="仿宋_GB2312"/>
      <w:b/>
      <w:bCs/>
      <w:color w:val="000000"/>
      <w:sz w:val="22"/>
      <w:szCs w:val="22"/>
      <w:u w:val="none"/>
    </w:rPr>
  </w:style>
  <w:style w:type="paragraph" w:customStyle="1" w:styleId="982">
    <w:name w:val="修订9"/>
    <w:hidden/>
    <w:qFormat/>
    <w:uiPriority w:val="99"/>
    <w:rPr>
      <w:rFonts w:ascii="Times New Roman" w:hAnsi="Times New Roman" w:eastAsia="宋体" w:cs="Times New Roman"/>
      <w:kern w:val="2"/>
      <w:sz w:val="21"/>
      <w:szCs w:val="24"/>
      <w:lang w:val="en-US" w:eastAsia="zh-CN" w:bidi="ar-SA"/>
    </w:rPr>
  </w:style>
  <w:style w:type="table" w:customStyle="1" w:styleId="983">
    <w:name w:val="网格型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4">
    <w:name w:val="表格主题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5">
    <w:name w:val="典雅型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986">
    <w:name w:val="列表型 7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987">
    <w:name w:val="流行型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988">
    <w:name w:val="专业型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989">
    <w:name w:val="网格型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0">
    <w:name w:val="网格型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1">
    <w:name w:val="网格型3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2">
    <w:name w:val="网格型4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3">
    <w:name w:val="网格型5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4">
    <w:name w:val="列表型 71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995">
    <w:name w:val="流行型1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996">
    <w:name w:val="专业型11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997">
    <w:name w:val="典雅型11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998">
    <w:name w:val="网格型152"/>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9">
    <w:name w:val="列表型 3MO12"/>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paragraph" w:customStyle="1" w:styleId="1000">
    <w:name w:val="TOC 标题8"/>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1001">
    <w:name w:val="Normal Indent1"/>
    <w:basedOn w:val="1"/>
    <w:qFormat/>
    <w:uiPriority w:val="0"/>
    <w:pPr>
      <w:spacing w:line="240" w:lineRule="auto"/>
      <w:ind w:firstLine="420"/>
    </w:pPr>
    <w:rPr>
      <w:szCs w:val="20"/>
    </w:rPr>
  </w:style>
  <w:style w:type="paragraph" w:customStyle="1" w:styleId="1002">
    <w:name w:val="正文首行缩进1"/>
    <w:basedOn w:val="10"/>
    <w:qFormat/>
    <w:uiPriority w:val="0"/>
    <w:pPr>
      <w:spacing w:beforeLines="0" w:after="120" w:afterLines="0" w:line="240" w:lineRule="auto"/>
      <w:ind w:firstLine="420" w:firstLineChars="0"/>
    </w:pPr>
    <w:rPr>
      <w:rFonts w:eastAsia="宋体" w:cs="Times New Roman"/>
      <w:kern w:val="2"/>
      <w:sz w:val="21"/>
      <w:szCs w:val="20"/>
    </w:rPr>
  </w:style>
  <w:style w:type="paragraph" w:customStyle="1" w:styleId="1003">
    <w:name w:val="正文文本首行缩进1"/>
    <w:basedOn w:val="10"/>
    <w:qFormat/>
    <w:uiPriority w:val="0"/>
    <w:pPr>
      <w:spacing w:beforeLines="0" w:after="120" w:afterLines="0" w:line="240" w:lineRule="auto"/>
      <w:ind w:firstLine="420" w:firstLineChars="0"/>
    </w:pPr>
    <w:rPr>
      <w:rFonts w:eastAsia="宋体" w:cs="Times New Roman"/>
      <w:kern w:val="2"/>
      <w:sz w:val="21"/>
      <w:szCs w:val="20"/>
      <w:lang w:val="zh-CN"/>
    </w:rPr>
  </w:style>
  <w:style w:type="paragraph" w:customStyle="1" w:styleId="1004">
    <w:name w:val="Body Text First Indent1"/>
    <w:basedOn w:val="10"/>
    <w:qFormat/>
    <w:uiPriority w:val="0"/>
    <w:pPr>
      <w:spacing w:beforeLines="0" w:after="120" w:afterLines="0" w:line="240" w:lineRule="auto"/>
      <w:ind w:firstLine="420" w:firstLineChars="0"/>
    </w:pPr>
    <w:rPr>
      <w:rFonts w:eastAsia="宋体" w:cs="Times New Roman"/>
      <w:kern w:val="2"/>
      <w:sz w:val="21"/>
      <w:szCs w:val="20"/>
    </w:rPr>
  </w:style>
  <w:style w:type="character" w:customStyle="1" w:styleId="1005">
    <w:name w:val="样式 标题 2 + 小四 Char Char"/>
    <w:link w:val="1006"/>
    <w:qFormat/>
    <w:uiPriority w:val="0"/>
    <w:rPr>
      <w:rFonts w:ascii="Arial" w:hAnsi="Arial"/>
      <w:b/>
      <w:bCs/>
      <w:sz w:val="32"/>
      <w:szCs w:val="32"/>
    </w:rPr>
  </w:style>
  <w:style w:type="paragraph" w:customStyle="1" w:styleId="1006">
    <w:name w:val="样式 标题 2 + 小四"/>
    <w:basedOn w:val="4"/>
    <w:link w:val="1005"/>
    <w:qFormat/>
    <w:uiPriority w:val="0"/>
    <w:pPr>
      <w:tabs>
        <w:tab w:val="clear" w:pos="4680"/>
      </w:tabs>
      <w:adjustRightInd/>
      <w:snapToGrid/>
      <w:spacing w:before="240" w:line="360" w:lineRule="auto"/>
      <w:jc w:val="both"/>
    </w:pPr>
    <w:rPr>
      <w:rFonts w:ascii="Arial" w:hAnsi="Arial" w:eastAsia="宋体"/>
      <w:sz w:val="32"/>
      <w:szCs w:val="32"/>
    </w:rPr>
  </w:style>
  <w:style w:type="character" w:customStyle="1" w:styleId="1007">
    <w:name w:val="页码1"/>
    <w:basedOn w:val="96"/>
    <w:qFormat/>
    <w:uiPriority w:val="0"/>
  </w:style>
  <w:style w:type="paragraph" w:customStyle="1" w:styleId="1008">
    <w:name w:val="封面页眉"/>
    <w:basedOn w:val="57"/>
    <w:qFormat/>
    <w:uiPriority w:val="0"/>
    <w:pPr>
      <w:pBdr>
        <w:bottom w:val="none" w:color="auto" w:sz="0" w:space="0"/>
      </w:pBdr>
      <w:spacing w:beforeLines="0" w:afterLines="0"/>
      <w:ind w:firstLine="360"/>
    </w:pPr>
    <w:rPr>
      <w:rFonts w:eastAsia="宋体" w:cs="Times New Roman"/>
      <w:kern w:val="2"/>
    </w:rPr>
  </w:style>
  <w:style w:type="paragraph" w:customStyle="1" w:styleId="1009">
    <w:name w:val="样式 标题 2 + 四号 非加粗 两端对齐"/>
    <w:basedOn w:val="4"/>
    <w:qFormat/>
    <w:uiPriority w:val="0"/>
    <w:pPr>
      <w:tabs>
        <w:tab w:val="clear" w:pos="4680"/>
      </w:tabs>
      <w:adjustRightInd/>
      <w:snapToGrid/>
      <w:spacing w:before="240" w:line="360" w:lineRule="auto"/>
      <w:jc w:val="both"/>
    </w:pPr>
    <w:rPr>
      <w:rFonts w:ascii="Arial" w:hAnsi="Arial" w:eastAsia="宋体" w:cs="宋体"/>
      <w:bCs w:val="0"/>
      <w:kern w:val="2"/>
      <w:sz w:val="28"/>
      <w:szCs w:val="20"/>
    </w:rPr>
  </w:style>
  <w:style w:type="paragraph" w:customStyle="1" w:styleId="1010">
    <w:name w:val="样式 标题 5 + 宋体 小四 加粗 首行缩进:  2 字符 段前: 0.8 行 段后: 0.5 行 行距: 固定值..."/>
    <w:basedOn w:val="5"/>
    <w:qFormat/>
    <w:uiPriority w:val="0"/>
    <w:pPr>
      <w:autoSpaceDE/>
      <w:autoSpaceDN/>
      <w:adjustRightInd/>
      <w:snapToGrid/>
      <w:spacing w:before="192" w:beforeLines="0" w:after="120" w:line="500" w:lineRule="exact"/>
      <w:ind w:firstLine="482" w:firstLineChars="200"/>
    </w:pPr>
    <w:rPr>
      <w:rFonts w:ascii="宋体" w:hAnsi="宋体" w:eastAsia="宋体" w:cs="宋体"/>
      <w:b w:val="0"/>
      <w:kern w:val="2"/>
      <w:sz w:val="24"/>
      <w:szCs w:val="20"/>
      <w:lang w:val="en-US"/>
    </w:rPr>
  </w:style>
  <w:style w:type="paragraph" w:customStyle="1" w:styleId="1011">
    <w:name w:val="表"/>
    <w:basedOn w:val="1"/>
    <w:qFormat/>
    <w:uiPriority w:val="0"/>
    <w:pPr>
      <w:widowControl/>
      <w:spacing w:line="500" w:lineRule="exact"/>
      <w:jc w:val="center"/>
      <w:textAlignment w:val="top"/>
    </w:pPr>
    <w:rPr>
      <w:rFonts w:ascii="宋体" w:hAnsi="宋体"/>
      <w:color w:val="000000"/>
      <w:kern w:val="0"/>
      <w:sz w:val="18"/>
    </w:rPr>
  </w:style>
  <w:style w:type="paragraph" w:customStyle="1" w:styleId="1012">
    <w:name w:val="样式 标题 4 + 首行缩进:  0.98 字符"/>
    <w:basedOn w:val="6"/>
    <w:qFormat/>
    <w:uiPriority w:val="0"/>
    <w:pPr>
      <w:spacing w:before="0" w:after="0" w:line="300" w:lineRule="auto"/>
      <w:ind w:firstLine="236" w:firstLineChars="98"/>
    </w:pPr>
    <w:rPr>
      <w:rFonts w:eastAsia="宋体" w:cs="宋体"/>
      <w:b w:val="0"/>
      <w:szCs w:val="20"/>
    </w:rPr>
  </w:style>
  <w:style w:type="paragraph" w:customStyle="1" w:styleId="1013">
    <w:name w:val="List Paragraph1"/>
    <w:basedOn w:val="1"/>
    <w:qFormat/>
    <w:uiPriority w:val="0"/>
    <w:pPr>
      <w:spacing w:line="240" w:lineRule="auto"/>
      <w:ind w:firstLine="420" w:firstLineChars="200"/>
    </w:pPr>
    <w:rPr>
      <w:rFonts w:ascii="Calibri" w:hAnsi="Calibri" w:cs="黑体"/>
      <w:szCs w:val="22"/>
    </w:rPr>
  </w:style>
  <w:style w:type="paragraph" w:customStyle="1" w:styleId="1014">
    <w:name w:val="列表 31"/>
    <w:basedOn w:val="1"/>
    <w:qFormat/>
    <w:uiPriority w:val="0"/>
    <w:pPr>
      <w:spacing w:line="240" w:lineRule="auto"/>
      <w:ind w:left="100" w:leftChars="400" w:hanging="200" w:hangingChars="200"/>
      <w:contextualSpacing/>
    </w:pPr>
    <w:rPr>
      <w:rFonts w:ascii="Calibri" w:hAnsi="Calibri" w:cs="黑体"/>
      <w:szCs w:val="22"/>
    </w:rPr>
  </w:style>
  <w:style w:type="paragraph" w:customStyle="1" w:styleId="1015">
    <w:name w:val="Normal (Web)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016">
    <w:name w:val="Note Heading1"/>
    <w:basedOn w:val="1"/>
    <w:next w:val="1"/>
    <w:qFormat/>
    <w:uiPriority w:val="0"/>
    <w:pPr>
      <w:spacing w:before="156" w:beforeLines="50" w:after="156" w:afterLines="50" w:line="360" w:lineRule="auto"/>
      <w:jc w:val="center"/>
    </w:pPr>
    <w:rPr>
      <w:b/>
    </w:rPr>
  </w:style>
  <w:style w:type="paragraph" w:customStyle="1" w:styleId="1017">
    <w:name w:val="List1"/>
    <w:basedOn w:val="1"/>
    <w:qFormat/>
    <w:uiPriority w:val="0"/>
    <w:pPr>
      <w:spacing w:line="240" w:lineRule="auto"/>
      <w:jc w:val="left"/>
    </w:pPr>
    <w:rPr>
      <w:sz w:val="18"/>
      <w:szCs w:val="20"/>
    </w:rPr>
  </w:style>
  <w:style w:type="paragraph" w:customStyle="1" w:styleId="1018">
    <w:name w:val="样式 样式 标题 2 + 两端对齐 段前: 0 磅 段后: 0 磅 行距: 固定值 25 磅 + 首行缩进:  10.5 字符"/>
    <w:basedOn w:val="4"/>
    <w:next w:val="291"/>
    <w:qFormat/>
    <w:uiPriority w:val="0"/>
    <w:pPr>
      <w:tabs>
        <w:tab w:val="clear" w:pos="4680"/>
      </w:tabs>
      <w:adjustRightInd/>
      <w:snapToGrid/>
      <w:spacing w:before="240" w:line="360" w:lineRule="auto"/>
      <w:ind w:firstLine="2214"/>
    </w:pPr>
    <w:rPr>
      <w:rFonts w:ascii="Arial" w:hAnsi="Arial" w:eastAsia="宋体"/>
      <w:kern w:val="2"/>
      <w:sz w:val="28"/>
      <w:szCs w:val="32"/>
    </w:rPr>
  </w:style>
  <w:style w:type="paragraph" w:customStyle="1" w:styleId="1019">
    <w:name w:val="图表目录1"/>
    <w:basedOn w:val="1"/>
    <w:next w:val="1"/>
    <w:qFormat/>
    <w:uiPriority w:val="0"/>
    <w:pPr>
      <w:spacing w:before="120" w:after="120" w:line="240" w:lineRule="auto"/>
      <w:ind w:left="840" w:hanging="420"/>
      <w:jc w:val="center"/>
    </w:pPr>
    <w:rPr>
      <w:rFonts w:eastAsia="黑体"/>
      <w:szCs w:val="20"/>
    </w:rPr>
  </w:style>
  <w:style w:type="paragraph" w:customStyle="1" w:styleId="1020">
    <w:name w:val="公式"/>
    <w:basedOn w:val="1"/>
    <w:qFormat/>
    <w:uiPriority w:val="0"/>
    <w:pPr>
      <w:spacing w:line="240" w:lineRule="atLeast"/>
      <w:ind w:firstLine="454" w:firstLineChars="200"/>
    </w:pPr>
    <w:rPr>
      <w:sz w:val="24"/>
      <w:szCs w:val="20"/>
    </w:rPr>
  </w:style>
  <w:style w:type="paragraph" w:customStyle="1" w:styleId="1021">
    <w:name w:val="Date1"/>
    <w:basedOn w:val="1"/>
    <w:next w:val="1"/>
    <w:qFormat/>
    <w:uiPriority w:val="0"/>
    <w:pPr>
      <w:spacing w:line="300" w:lineRule="auto"/>
      <w:ind w:left="100" w:leftChars="2500"/>
    </w:pPr>
  </w:style>
  <w:style w:type="paragraph" w:customStyle="1" w:styleId="1022">
    <w:name w:val="正文文本 21"/>
    <w:basedOn w:val="1"/>
    <w:qFormat/>
    <w:uiPriority w:val="0"/>
    <w:pPr>
      <w:spacing w:line="300" w:lineRule="auto"/>
    </w:pPr>
    <w:rPr>
      <w:sz w:val="18"/>
    </w:rPr>
  </w:style>
  <w:style w:type="paragraph" w:customStyle="1" w:styleId="1023">
    <w:name w:val="样式 标题 2 + 小四 黑色 居中 首行缩进:  1.06 厘米 行距: 固定值 25 磅"/>
    <w:basedOn w:val="4"/>
    <w:qFormat/>
    <w:uiPriority w:val="0"/>
    <w:pPr>
      <w:tabs>
        <w:tab w:val="clear" w:pos="4680"/>
      </w:tabs>
      <w:adjustRightInd/>
      <w:snapToGrid/>
      <w:spacing w:before="240" w:line="500" w:lineRule="exact"/>
      <w:ind w:firstLine="602"/>
      <w:jc w:val="center"/>
    </w:pPr>
    <w:rPr>
      <w:rFonts w:ascii="Arial" w:hAnsi="Arial" w:eastAsia="宋体" w:cs="宋体"/>
      <w:color w:val="000000"/>
      <w:kern w:val="2"/>
      <w:sz w:val="32"/>
      <w:szCs w:val="20"/>
    </w:rPr>
  </w:style>
  <w:style w:type="paragraph" w:customStyle="1" w:styleId="1024">
    <w:name w:val="列表 21"/>
    <w:basedOn w:val="1"/>
    <w:qFormat/>
    <w:uiPriority w:val="0"/>
    <w:pPr>
      <w:spacing w:line="240" w:lineRule="auto"/>
      <w:ind w:left="840" w:hanging="420"/>
    </w:pPr>
    <w:rPr>
      <w:szCs w:val="20"/>
    </w:rPr>
  </w:style>
  <w:style w:type="paragraph" w:customStyle="1" w:styleId="1025">
    <w:name w:val="样式 标题 4 + 行距: 固定值 25 磅1"/>
    <w:basedOn w:val="6"/>
    <w:qFormat/>
    <w:uiPriority w:val="0"/>
    <w:pPr>
      <w:spacing w:before="0" w:after="0" w:line="500" w:lineRule="exact"/>
    </w:pPr>
    <w:rPr>
      <w:rFonts w:eastAsia="宋体" w:cs="宋体"/>
      <w:b w:val="0"/>
      <w:kern w:val="0"/>
      <w:szCs w:val="20"/>
    </w:rPr>
  </w:style>
  <w:style w:type="paragraph" w:customStyle="1" w:styleId="1026">
    <w:name w:val="样式 标题 3 Char + 小四 首行缩进:  0.99 厘米 行距: 固定值 25 磅"/>
    <w:basedOn w:val="5"/>
    <w:qFormat/>
    <w:uiPriority w:val="0"/>
    <w:pPr>
      <w:autoSpaceDE/>
      <w:autoSpaceDN/>
      <w:adjustRightInd/>
      <w:snapToGrid/>
      <w:spacing w:before="260" w:beforeLines="0" w:line="500" w:lineRule="exact"/>
      <w:ind w:firstLine="562"/>
    </w:pPr>
    <w:rPr>
      <w:rFonts w:eastAsia="宋体" w:cs="宋体"/>
      <w:kern w:val="2"/>
      <w:szCs w:val="20"/>
      <w:lang w:val="en-US"/>
    </w:rPr>
  </w:style>
  <w:style w:type="paragraph" w:customStyle="1" w:styleId="1027">
    <w:name w:val="正文文本缩进 21"/>
    <w:basedOn w:val="1"/>
    <w:qFormat/>
    <w:uiPriority w:val="0"/>
    <w:pPr>
      <w:spacing w:line="300" w:lineRule="auto"/>
      <w:ind w:firstLine="360" w:firstLineChars="150"/>
    </w:pPr>
  </w:style>
  <w:style w:type="paragraph" w:customStyle="1" w:styleId="1028">
    <w:name w:val="样式 标题 2 + 小四 居中 首行缩进:  1.06 厘米 行距: 固定值 25 磅"/>
    <w:basedOn w:val="4"/>
    <w:qFormat/>
    <w:uiPriority w:val="0"/>
    <w:pPr>
      <w:tabs>
        <w:tab w:val="clear" w:pos="4680"/>
      </w:tabs>
      <w:adjustRightInd/>
      <w:snapToGrid/>
      <w:spacing w:before="240" w:line="500" w:lineRule="exact"/>
      <w:ind w:firstLine="602"/>
      <w:jc w:val="center"/>
    </w:pPr>
    <w:rPr>
      <w:rFonts w:ascii="Arial" w:hAnsi="Arial" w:eastAsia="宋体" w:cs="宋体"/>
      <w:kern w:val="2"/>
      <w:sz w:val="32"/>
      <w:szCs w:val="20"/>
    </w:rPr>
  </w:style>
  <w:style w:type="paragraph" w:customStyle="1" w:styleId="1029">
    <w:name w:val="样式 标题 1 + 小四 黑色 行距: 固定值 25 磅"/>
    <w:basedOn w:val="3"/>
    <w:qFormat/>
    <w:uiPriority w:val="0"/>
    <w:pPr>
      <w:spacing w:before="340" w:after="0" w:line="500" w:lineRule="exact"/>
      <w:ind w:left="0" w:firstLine="0"/>
    </w:pPr>
    <w:rPr>
      <w:rFonts w:ascii="Times New Roman" w:hAnsi="Times New Roman"/>
      <w:b/>
      <w:bCs/>
      <w:color w:val="000000"/>
      <w:sz w:val="36"/>
      <w:szCs w:val="20"/>
    </w:rPr>
  </w:style>
  <w:style w:type="paragraph" w:customStyle="1" w:styleId="1030">
    <w:name w:val="图表说明"/>
    <w:basedOn w:val="1"/>
    <w:next w:val="1"/>
    <w:qFormat/>
    <w:uiPriority w:val="0"/>
    <w:pPr>
      <w:keepNext/>
      <w:widowControl/>
      <w:tabs>
        <w:tab w:val="left" w:pos="0"/>
      </w:tabs>
      <w:spacing w:line="240" w:lineRule="auto"/>
      <w:jc w:val="center"/>
    </w:pPr>
    <w:rPr>
      <w:b/>
      <w:kern w:val="0"/>
      <w:position w:val="6"/>
      <w:sz w:val="18"/>
      <w:szCs w:val="20"/>
    </w:rPr>
  </w:style>
  <w:style w:type="paragraph" w:customStyle="1" w:styleId="1031">
    <w:name w:val="正文文本缩进 31"/>
    <w:basedOn w:val="1"/>
    <w:qFormat/>
    <w:uiPriority w:val="0"/>
    <w:pPr>
      <w:spacing w:line="300" w:lineRule="auto"/>
      <w:ind w:firstLine="480" w:firstLineChars="200"/>
    </w:pPr>
  </w:style>
  <w:style w:type="paragraph" w:customStyle="1" w:styleId="1032">
    <w:name w:val="样式 标题 5 + 宋体 小四 段前: 0.2 行 段后: 0.2 行 行距: 固定值 25 磅"/>
    <w:basedOn w:val="7"/>
    <w:qFormat/>
    <w:uiPriority w:val="0"/>
    <w:pPr>
      <w:spacing w:before="48" w:after="48" w:line="500" w:lineRule="exact"/>
    </w:pPr>
    <w:rPr>
      <w:rFonts w:ascii="宋体" w:hAnsi="宋体" w:cs="宋体"/>
      <w:bCs w:val="0"/>
      <w:sz w:val="24"/>
      <w:szCs w:val="20"/>
    </w:rPr>
  </w:style>
  <w:style w:type="paragraph" w:customStyle="1" w:styleId="1033">
    <w:name w:val="样式 标题 2 + 小四 居中 行距: 固定值 25 磅"/>
    <w:basedOn w:val="4"/>
    <w:qFormat/>
    <w:uiPriority w:val="0"/>
    <w:pPr>
      <w:tabs>
        <w:tab w:val="clear" w:pos="4680"/>
      </w:tabs>
      <w:adjustRightInd/>
      <w:snapToGrid/>
      <w:spacing w:before="240" w:line="500" w:lineRule="exact"/>
      <w:jc w:val="center"/>
    </w:pPr>
    <w:rPr>
      <w:rFonts w:ascii="Arial" w:hAnsi="Arial" w:eastAsia="宋体" w:cs="宋体"/>
      <w:kern w:val="2"/>
      <w:sz w:val="32"/>
      <w:szCs w:val="20"/>
    </w:rPr>
  </w:style>
  <w:style w:type="paragraph" w:customStyle="1" w:styleId="1034">
    <w:name w:val="样式 标题 5 + 小四 首行缩进:  0.74 厘米 段前: 0.2 行 段后: 0.2 行 行距: 固定值 25 磅"/>
    <w:basedOn w:val="7"/>
    <w:qFormat/>
    <w:uiPriority w:val="0"/>
    <w:pPr>
      <w:spacing w:before="62" w:after="62" w:line="500" w:lineRule="exact"/>
      <w:ind w:firstLine="420"/>
    </w:pPr>
    <w:rPr>
      <w:rFonts w:cs="宋体"/>
      <w:bCs w:val="0"/>
      <w:sz w:val="24"/>
      <w:szCs w:val="20"/>
    </w:rPr>
  </w:style>
  <w:style w:type="paragraph" w:customStyle="1" w:styleId="1035">
    <w:name w:val="样式 标题 2 + 四号 非加粗 两端对齐1"/>
    <w:basedOn w:val="4"/>
    <w:qFormat/>
    <w:uiPriority w:val="0"/>
    <w:pPr>
      <w:tabs>
        <w:tab w:val="clear" w:pos="4680"/>
      </w:tabs>
      <w:adjustRightInd/>
      <w:snapToGrid/>
      <w:spacing w:before="240" w:line="360" w:lineRule="auto"/>
      <w:jc w:val="both"/>
    </w:pPr>
    <w:rPr>
      <w:rFonts w:ascii="Arial" w:hAnsi="Arial" w:eastAsia="宋体" w:cs="宋体"/>
      <w:bCs w:val="0"/>
      <w:kern w:val="2"/>
      <w:sz w:val="28"/>
      <w:szCs w:val="20"/>
    </w:rPr>
  </w:style>
  <w:style w:type="paragraph" w:customStyle="1" w:styleId="1036">
    <w:name w:val="样式 标题 4 + 首行缩进:  0.85 厘米 行距: 固定值 25 磅"/>
    <w:basedOn w:val="6"/>
    <w:qFormat/>
    <w:uiPriority w:val="0"/>
    <w:pPr>
      <w:spacing w:before="0" w:after="0" w:line="500" w:lineRule="exact"/>
      <w:ind w:firstLine="482"/>
    </w:pPr>
    <w:rPr>
      <w:rFonts w:eastAsia="宋体" w:cs="宋体"/>
      <w:b w:val="0"/>
      <w:szCs w:val="20"/>
    </w:rPr>
  </w:style>
  <w:style w:type="paragraph" w:customStyle="1" w:styleId="1037">
    <w:name w:val="样式 标题 3 + 宋体 首行缩进:  2 字符"/>
    <w:basedOn w:val="5"/>
    <w:qFormat/>
    <w:uiPriority w:val="0"/>
    <w:pPr>
      <w:autoSpaceDE/>
      <w:autoSpaceDN/>
      <w:adjustRightInd/>
      <w:snapToGrid/>
      <w:spacing w:before="260" w:beforeLines="0" w:line="360" w:lineRule="auto"/>
      <w:ind w:firstLine="482" w:firstLineChars="200"/>
    </w:pPr>
    <w:rPr>
      <w:rFonts w:ascii="宋体" w:hAnsi="宋体" w:eastAsia="宋体" w:cs="宋体"/>
      <w:kern w:val="2"/>
      <w:sz w:val="24"/>
      <w:szCs w:val="20"/>
      <w:lang w:val="en-US"/>
    </w:rPr>
  </w:style>
  <w:style w:type="paragraph" w:customStyle="1" w:styleId="1038">
    <w:name w:val="公式编号"/>
    <w:basedOn w:val="1001"/>
    <w:qFormat/>
    <w:uiPriority w:val="0"/>
    <w:rPr>
      <w:sz w:val="18"/>
    </w:rPr>
  </w:style>
  <w:style w:type="paragraph" w:customStyle="1" w:styleId="1039">
    <w:name w:val="样式 标题 3 Char + 小四 行距: 固定值 25 磅"/>
    <w:basedOn w:val="5"/>
    <w:qFormat/>
    <w:uiPriority w:val="0"/>
    <w:pPr>
      <w:autoSpaceDE/>
      <w:autoSpaceDN/>
      <w:adjustRightInd/>
      <w:snapToGrid/>
      <w:spacing w:before="260" w:beforeLines="0" w:line="500" w:lineRule="exact"/>
    </w:pPr>
    <w:rPr>
      <w:rFonts w:eastAsia="宋体" w:cs="宋体"/>
      <w:kern w:val="2"/>
      <w:szCs w:val="20"/>
      <w:lang w:val="en-US"/>
    </w:rPr>
  </w:style>
  <w:style w:type="paragraph" w:customStyle="1" w:styleId="1040">
    <w:name w:val="样式 标题 1 + 小四 黑色 居中 行距: 固定值 25 磅"/>
    <w:basedOn w:val="3"/>
    <w:qFormat/>
    <w:uiPriority w:val="0"/>
    <w:pPr>
      <w:spacing w:before="340" w:after="0" w:line="500" w:lineRule="exact"/>
      <w:ind w:left="0" w:firstLine="0"/>
    </w:pPr>
    <w:rPr>
      <w:rFonts w:ascii="Times New Roman" w:hAnsi="Times New Roman"/>
      <w:b/>
      <w:bCs/>
      <w:color w:val="000000"/>
      <w:sz w:val="36"/>
      <w:szCs w:val="20"/>
    </w:rPr>
  </w:style>
  <w:style w:type="paragraph" w:customStyle="1" w:styleId="1041">
    <w:name w:val="样式 标题 4 + 行距: 固定值 25 磅"/>
    <w:basedOn w:val="6"/>
    <w:qFormat/>
    <w:uiPriority w:val="0"/>
    <w:pPr>
      <w:spacing w:before="0" w:after="0" w:line="500" w:lineRule="exact"/>
    </w:pPr>
    <w:rPr>
      <w:rFonts w:eastAsia="宋体" w:cs="宋体"/>
      <w:b w:val="0"/>
      <w:szCs w:val="20"/>
    </w:rPr>
  </w:style>
  <w:style w:type="paragraph" w:customStyle="1" w:styleId="1042">
    <w:name w:val="样式 标题 5 + 小四 段前: 0.2 行 段后: 0.2 行 行距: 固定值 25 磅"/>
    <w:basedOn w:val="7"/>
    <w:qFormat/>
    <w:uiPriority w:val="0"/>
    <w:pPr>
      <w:spacing w:before="62" w:after="62" w:line="500" w:lineRule="exact"/>
    </w:pPr>
    <w:rPr>
      <w:rFonts w:cs="宋体"/>
      <w:bCs w:val="0"/>
      <w:sz w:val="24"/>
      <w:szCs w:val="20"/>
    </w:rPr>
  </w:style>
  <w:style w:type="paragraph" w:customStyle="1" w:styleId="1043">
    <w:name w:val="样式 标题 3 + 宋体 非加粗"/>
    <w:basedOn w:val="5"/>
    <w:qFormat/>
    <w:uiPriority w:val="0"/>
    <w:pPr>
      <w:autoSpaceDE/>
      <w:autoSpaceDN/>
      <w:adjustRightInd/>
      <w:snapToGrid/>
      <w:spacing w:before="260" w:beforeLines="0" w:line="360" w:lineRule="auto"/>
      <w:ind w:firstLine="197" w:firstLineChars="82"/>
    </w:pPr>
    <w:rPr>
      <w:rFonts w:ascii="宋体" w:hAnsi="宋体" w:eastAsia="宋体" w:cs="宋体"/>
      <w:bCs w:val="0"/>
      <w:kern w:val="2"/>
      <w:sz w:val="24"/>
      <w:szCs w:val="20"/>
      <w:lang w:val="en-US"/>
    </w:rPr>
  </w:style>
  <w:style w:type="paragraph" w:customStyle="1" w:styleId="1044">
    <w:name w:val="样式 标题 3 Char + 小四 黑色 行距: 固定值 25 磅"/>
    <w:basedOn w:val="5"/>
    <w:qFormat/>
    <w:uiPriority w:val="0"/>
    <w:pPr>
      <w:autoSpaceDE/>
      <w:autoSpaceDN/>
      <w:adjustRightInd/>
      <w:snapToGrid/>
      <w:spacing w:before="260" w:beforeLines="0" w:line="500" w:lineRule="exact"/>
    </w:pPr>
    <w:rPr>
      <w:rFonts w:eastAsia="宋体" w:cs="宋体"/>
      <w:color w:val="000000"/>
      <w:kern w:val="2"/>
      <w:szCs w:val="20"/>
      <w:lang w:val="en-US"/>
    </w:rPr>
  </w:style>
  <w:style w:type="paragraph" w:customStyle="1" w:styleId="1045">
    <w:name w:val="样式 标题 3 Char + 小四 行距: 固定值 25 磅1"/>
    <w:basedOn w:val="5"/>
    <w:qFormat/>
    <w:uiPriority w:val="0"/>
    <w:pPr>
      <w:autoSpaceDE/>
      <w:autoSpaceDN/>
      <w:adjustRightInd/>
      <w:snapToGrid/>
      <w:spacing w:before="260" w:beforeLines="0" w:line="500" w:lineRule="exact"/>
    </w:pPr>
    <w:rPr>
      <w:rFonts w:eastAsia="宋体" w:cs="宋体"/>
      <w:szCs w:val="20"/>
      <w:lang w:val="en-US"/>
    </w:rPr>
  </w:style>
  <w:style w:type="paragraph" w:customStyle="1" w:styleId="1046">
    <w:name w:val="样式 标题 2 + 两端对齐 段前: 0 磅 段后: 0 磅 行距: 固定值 25 磅"/>
    <w:basedOn w:val="4"/>
    <w:qFormat/>
    <w:uiPriority w:val="0"/>
    <w:pPr>
      <w:tabs>
        <w:tab w:val="clear" w:pos="4680"/>
      </w:tabs>
      <w:adjustRightInd/>
      <w:snapToGrid/>
      <w:spacing w:line="500" w:lineRule="exact"/>
      <w:ind w:firstLine="2205" w:firstLineChars="1050"/>
    </w:pPr>
    <w:rPr>
      <w:rFonts w:ascii="Arial" w:hAnsi="Arial" w:eastAsia="宋体" w:cs="宋体"/>
      <w:kern w:val="2"/>
      <w:sz w:val="28"/>
      <w:szCs w:val="20"/>
    </w:rPr>
  </w:style>
  <w:style w:type="paragraph" w:customStyle="1" w:styleId="1047">
    <w:name w:val="样式 标题 4 + 四号 首行缩进:  2 字符 行距: 固定值 25 磅"/>
    <w:basedOn w:val="4"/>
    <w:next w:val="291"/>
    <w:qFormat/>
    <w:uiPriority w:val="0"/>
    <w:pPr>
      <w:tabs>
        <w:tab w:val="clear" w:pos="4680"/>
      </w:tabs>
      <w:adjustRightInd/>
      <w:snapToGrid/>
      <w:spacing w:before="240" w:line="500" w:lineRule="exact"/>
      <w:ind w:firstLine="562"/>
    </w:pPr>
    <w:rPr>
      <w:rFonts w:ascii="Arial" w:hAnsi="Arial" w:eastAsia="宋体" w:cs="宋体"/>
      <w:b w:val="0"/>
      <w:kern w:val="2"/>
      <w:sz w:val="24"/>
      <w:szCs w:val="20"/>
    </w:rPr>
  </w:style>
  <w:style w:type="paragraph" w:styleId="1048">
    <w:name w:val="Quote"/>
    <w:basedOn w:val="1"/>
    <w:next w:val="1"/>
    <w:link w:val="1050"/>
    <w:qFormat/>
    <w:uiPriority w:val="29"/>
    <w:pPr>
      <w:spacing w:line="300" w:lineRule="auto"/>
    </w:pPr>
    <w:rPr>
      <w:i/>
      <w:iCs/>
      <w:color w:val="000000"/>
    </w:rPr>
  </w:style>
  <w:style w:type="character" w:customStyle="1" w:styleId="1049">
    <w:name w:val="引用 字符"/>
    <w:basedOn w:val="96"/>
    <w:qFormat/>
    <w:uiPriority w:val="29"/>
    <w:rPr>
      <w:rFonts w:ascii="Times New Roman" w:hAnsi="Times New Roman"/>
      <w:i/>
      <w:iCs/>
      <w:color w:val="404040" w:themeColor="text1" w:themeTint="BF"/>
      <w:kern w:val="2"/>
      <w:sz w:val="21"/>
      <w:szCs w:val="24"/>
      <w14:textFill>
        <w14:solidFill>
          <w14:schemeClr w14:val="tx1">
            <w14:lumMod w14:val="75000"/>
            <w14:lumOff w14:val="25000"/>
          </w14:schemeClr>
        </w14:solidFill>
      </w14:textFill>
    </w:rPr>
  </w:style>
  <w:style w:type="character" w:customStyle="1" w:styleId="1050">
    <w:name w:val="引用 字符1"/>
    <w:link w:val="1048"/>
    <w:qFormat/>
    <w:uiPriority w:val="29"/>
    <w:rPr>
      <w:rFonts w:ascii="Times New Roman" w:hAnsi="Times New Roman"/>
      <w:i/>
      <w:iCs/>
      <w:color w:val="000000"/>
      <w:kern w:val="2"/>
      <w:sz w:val="21"/>
      <w:szCs w:val="24"/>
    </w:rPr>
  </w:style>
  <w:style w:type="character" w:customStyle="1" w:styleId="1051">
    <w:name w:val="9－公式 Char"/>
    <w:link w:val="1052"/>
    <w:qFormat/>
    <w:uiPriority w:val="0"/>
    <w:rPr>
      <w:lang w:val="zh-CN"/>
    </w:rPr>
  </w:style>
  <w:style w:type="paragraph" w:customStyle="1" w:styleId="1052">
    <w:name w:val="9－公式"/>
    <w:basedOn w:val="1"/>
    <w:link w:val="1051"/>
    <w:qFormat/>
    <w:uiPriority w:val="0"/>
    <w:pPr>
      <w:spacing w:before="93" w:beforeLines="30" w:after="93" w:afterLines="30" w:line="360" w:lineRule="auto"/>
      <w:jc w:val="center"/>
    </w:pPr>
    <w:rPr>
      <w:rFonts w:ascii="Calibri" w:hAnsi="Calibri"/>
      <w:kern w:val="0"/>
      <w:sz w:val="20"/>
      <w:szCs w:val="20"/>
      <w:lang w:val="zh-CN"/>
    </w:rPr>
  </w:style>
  <w:style w:type="character" w:customStyle="1" w:styleId="1053">
    <w:name w:val="_Style 8"/>
    <w:qFormat/>
    <w:uiPriority w:val="33"/>
    <w:rPr>
      <w:b/>
    </w:rPr>
  </w:style>
  <w:style w:type="paragraph" w:customStyle="1" w:styleId="1054">
    <w:name w:val="7－图表号"/>
    <w:basedOn w:val="1"/>
    <w:qFormat/>
    <w:uiPriority w:val="0"/>
    <w:pPr>
      <w:spacing w:before="93" w:beforeLines="30" w:after="93" w:afterLines="30" w:line="360" w:lineRule="auto"/>
      <w:jc w:val="center"/>
    </w:pPr>
    <w:rPr>
      <w:b/>
      <w:spacing w:val="4"/>
      <w:sz w:val="24"/>
    </w:rPr>
  </w:style>
  <w:style w:type="paragraph" w:customStyle="1" w:styleId="1055">
    <w:name w:val="82-表内容"/>
    <w:basedOn w:val="1"/>
    <w:qFormat/>
    <w:uiPriority w:val="0"/>
    <w:pPr>
      <w:spacing w:line="360" w:lineRule="exact"/>
      <w:jc w:val="center"/>
    </w:pPr>
    <w:rPr>
      <w:sz w:val="20"/>
      <w:szCs w:val="20"/>
    </w:rPr>
  </w:style>
  <w:style w:type="paragraph" w:customStyle="1" w:styleId="1056">
    <w:name w:val="92-表内容"/>
    <w:basedOn w:val="1"/>
    <w:qFormat/>
    <w:uiPriority w:val="0"/>
    <w:pPr>
      <w:spacing w:line="400" w:lineRule="exact"/>
      <w:jc w:val="center"/>
    </w:pPr>
    <w:rPr>
      <w:rFonts w:ascii="微软雅黑" w:hAnsi="微软雅黑" w:eastAsia="微软雅黑"/>
      <w:spacing w:val="8"/>
      <w:kern w:val="28"/>
      <w:sz w:val="19"/>
      <w:szCs w:val="21"/>
    </w:rPr>
  </w:style>
  <w:style w:type="paragraph" w:customStyle="1" w:styleId="1057">
    <w:name w:val="样式 正文缩进 + 行距: 多倍行距 1.25 字行"/>
    <w:qFormat/>
    <w:uiPriority w:val="0"/>
    <w:pPr>
      <w:spacing w:line="500" w:lineRule="exact"/>
      <w:ind w:firstLine="200" w:firstLineChars="200"/>
    </w:pPr>
    <w:rPr>
      <w:rFonts w:cs="宋体" w:asciiTheme="minorHAnsi" w:hAnsiTheme="minorHAnsi" w:eastAsiaTheme="minorEastAsia"/>
      <w:kern w:val="2"/>
      <w:sz w:val="21"/>
      <w:szCs w:val="22"/>
      <w:lang w:val="en-US" w:eastAsia="zh-CN" w:bidi="ar-SA"/>
    </w:rPr>
  </w:style>
  <w:style w:type="paragraph" w:customStyle="1" w:styleId="1058">
    <w:name w:val="81-表头"/>
    <w:basedOn w:val="1056"/>
    <w:qFormat/>
    <w:uiPriority w:val="0"/>
    <w:pPr>
      <w:spacing w:line="360" w:lineRule="exact"/>
    </w:pPr>
    <w:rPr>
      <w:b/>
      <w:spacing w:val="4"/>
      <w:sz w:val="20"/>
    </w:rPr>
  </w:style>
  <w:style w:type="paragraph" w:customStyle="1" w:styleId="1059">
    <w:name w:val="表格文本"/>
    <w:basedOn w:val="1"/>
    <w:link w:val="1060"/>
    <w:qFormat/>
    <w:uiPriority w:val="0"/>
    <w:pPr>
      <w:spacing w:line="460" w:lineRule="exact"/>
      <w:jc w:val="center"/>
    </w:pPr>
    <w:rPr>
      <w:rFonts w:eastAsia="仿宋_GB2312"/>
      <w:sz w:val="24"/>
      <w:lang w:val="zh-CN"/>
    </w:rPr>
  </w:style>
  <w:style w:type="character" w:customStyle="1" w:styleId="1060">
    <w:name w:val="表格文本 Char"/>
    <w:link w:val="1059"/>
    <w:qFormat/>
    <w:uiPriority w:val="0"/>
    <w:rPr>
      <w:rFonts w:ascii="Times New Roman" w:hAnsi="Times New Roman" w:eastAsia="仿宋_GB2312"/>
      <w:kern w:val="2"/>
      <w:sz w:val="24"/>
      <w:szCs w:val="24"/>
      <w:lang w:val="zh-CN"/>
    </w:rPr>
  </w:style>
  <w:style w:type="paragraph" w:customStyle="1" w:styleId="1061">
    <w:name w:val="表格文字"/>
    <w:basedOn w:val="1"/>
    <w:qFormat/>
    <w:uiPriority w:val="0"/>
    <w:pPr>
      <w:spacing w:line="240" w:lineRule="auto"/>
      <w:jc w:val="center"/>
    </w:pPr>
    <w:rPr>
      <w:sz w:val="18"/>
    </w:rPr>
  </w:style>
  <w:style w:type="table" w:customStyle="1" w:styleId="1062">
    <w:name w:val="网格表 4 - 着色 22"/>
    <w:basedOn w:val="88"/>
    <w:qFormat/>
    <w:uiPriority w:val="49"/>
    <w:rPr>
      <w:rFonts w:ascii="等线" w:hAnsi="等线" w:eastAsia="等线"/>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paragraph" w:customStyle="1" w:styleId="1063">
    <w:name w:val="0-正文"/>
    <w:basedOn w:val="1"/>
    <w:link w:val="1064"/>
    <w:qFormat/>
    <w:uiPriority w:val="0"/>
    <w:pPr>
      <w:spacing w:line="500" w:lineRule="exact"/>
      <w:ind w:firstLine="496" w:firstLineChars="200"/>
      <w:textAlignment w:val="center"/>
    </w:pPr>
    <w:rPr>
      <w:rFonts w:eastAsia="微软雅黑"/>
      <w:spacing w:val="14"/>
      <w:kern w:val="28"/>
      <w:sz w:val="22"/>
      <w:szCs w:val="22"/>
      <w:lang w:val="zh-CN"/>
    </w:rPr>
  </w:style>
  <w:style w:type="character" w:customStyle="1" w:styleId="1064">
    <w:name w:val="0-正文 Char"/>
    <w:link w:val="1063"/>
    <w:qFormat/>
    <w:uiPriority w:val="0"/>
    <w:rPr>
      <w:rFonts w:ascii="Times New Roman" w:hAnsi="Times New Roman" w:eastAsia="微软雅黑"/>
      <w:spacing w:val="14"/>
      <w:kern w:val="28"/>
      <w:sz w:val="22"/>
      <w:szCs w:val="22"/>
      <w:lang w:val="zh-CN"/>
    </w:rPr>
  </w:style>
  <w:style w:type="paragraph" w:customStyle="1" w:styleId="1065">
    <w:name w:val="编号—列表"/>
    <w:basedOn w:val="1"/>
    <w:next w:val="1"/>
    <w:qFormat/>
    <w:uiPriority w:val="0"/>
    <w:pPr>
      <w:spacing w:line="500" w:lineRule="exact"/>
      <w:jc w:val="center"/>
    </w:pPr>
    <w:rPr>
      <w:sz w:val="18"/>
    </w:rPr>
  </w:style>
  <w:style w:type="paragraph" w:customStyle="1" w:styleId="1066">
    <w:name w:val="表格单位"/>
    <w:basedOn w:val="1"/>
    <w:link w:val="1067"/>
    <w:qFormat/>
    <w:uiPriority w:val="0"/>
    <w:pPr>
      <w:adjustRightInd w:val="0"/>
      <w:snapToGrid w:val="0"/>
      <w:spacing w:before="78" w:beforeLines="25" w:after="78" w:afterLines="25" w:line="300" w:lineRule="auto"/>
      <w:ind w:firstLine="420" w:firstLineChars="200"/>
      <w:jc w:val="right"/>
    </w:pPr>
    <w:rPr>
      <w:rFonts w:eastAsia="仿宋_GB2312"/>
      <w:kern w:val="28"/>
      <w:szCs w:val="21"/>
      <w:lang w:val="zh-CN"/>
    </w:rPr>
  </w:style>
  <w:style w:type="character" w:customStyle="1" w:styleId="1067">
    <w:name w:val="表格单位 Char"/>
    <w:link w:val="1066"/>
    <w:qFormat/>
    <w:uiPriority w:val="0"/>
    <w:rPr>
      <w:rFonts w:ascii="Times New Roman" w:hAnsi="Times New Roman" w:eastAsia="仿宋_GB2312"/>
      <w:kern w:val="28"/>
      <w:sz w:val="21"/>
      <w:szCs w:val="21"/>
      <w:lang w:val="zh-CN"/>
    </w:rPr>
  </w:style>
  <w:style w:type="paragraph" w:customStyle="1" w:styleId="1068">
    <w:name w:val="样式 正文格式1 + 非加粗 两端对齐"/>
    <w:basedOn w:val="1"/>
    <w:qFormat/>
    <w:uiPriority w:val="99"/>
    <w:pPr>
      <w:spacing w:line="240" w:lineRule="auto"/>
      <w:ind w:firstLine="200" w:firstLineChars="200"/>
    </w:pPr>
    <w:rPr>
      <w:rFonts w:ascii="宋体" w:hAnsi="宋体" w:cs="宋体"/>
      <w:sz w:val="24"/>
      <w:szCs w:val="20"/>
    </w:rPr>
  </w:style>
  <w:style w:type="paragraph" w:customStyle="1" w:styleId="1069">
    <w:name w:val="表格小五"/>
    <w:basedOn w:val="1"/>
    <w:next w:val="1"/>
    <w:qFormat/>
    <w:uiPriority w:val="0"/>
    <w:pPr>
      <w:spacing w:line="240" w:lineRule="auto"/>
      <w:jc w:val="left"/>
    </w:pPr>
    <w:rPr>
      <w:rFonts w:ascii="Calibri" w:hAnsi="Calibri"/>
      <w:sz w:val="18"/>
      <w:szCs w:val="20"/>
    </w:rPr>
  </w:style>
  <w:style w:type="paragraph" w:customStyle="1" w:styleId="1070">
    <w:name w:val="正文2 Char"/>
    <w:basedOn w:val="1"/>
    <w:qFormat/>
    <w:uiPriority w:val="0"/>
    <w:pPr>
      <w:spacing w:line="360" w:lineRule="auto"/>
      <w:ind w:firstLine="520" w:firstLineChars="200"/>
    </w:pPr>
    <w:rPr>
      <w:rFonts w:ascii="宋体" w:hAnsi="宋体"/>
      <w:sz w:val="26"/>
      <w:szCs w:val="26"/>
    </w:rPr>
  </w:style>
  <w:style w:type="paragraph" w:customStyle="1" w:styleId="1071">
    <w:name w:val="标题7 1"/>
    <w:basedOn w:val="1070"/>
    <w:qFormat/>
    <w:uiPriority w:val="0"/>
    <w:pPr>
      <w:outlineLvl w:val="6"/>
    </w:pPr>
  </w:style>
  <w:style w:type="paragraph" w:customStyle="1" w:styleId="1072">
    <w:name w:val="标题6（一）"/>
    <w:basedOn w:val="1"/>
    <w:qFormat/>
    <w:uiPriority w:val="0"/>
    <w:pPr>
      <w:spacing w:line="360" w:lineRule="auto"/>
      <w:ind w:firstLine="200" w:firstLineChars="200"/>
      <w:outlineLvl w:val="5"/>
    </w:pPr>
    <w:rPr>
      <w:rFonts w:ascii="宋体" w:hAnsi="宋体" w:cs="宋体"/>
      <w:sz w:val="26"/>
      <w:szCs w:val="26"/>
    </w:rPr>
  </w:style>
  <w:style w:type="character" w:customStyle="1" w:styleId="1073">
    <w:name w:val="正文2010 Char Char"/>
    <w:link w:val="435"/>
    <w:qFormat/>
    <w:uiPriority w:val="0"/>
    <w:rPr>
      <w:rFonts w:ascii="Times New Roman" w:hAnsi="Times New Roman" w:eastAsia="仿宋_GB2312" w:cs="宋体"/>
      <w:kern w:val="28"/>
      <w:sz w:val="24"/>
    </w:rPr>
  </w:style>
  <w:style w:type="paragraph" w:customStyle="1" w:styleId="1074">
    <w:name w:val="95-公式"/>
    <w:basedOn w:val="1"/>
    <w:link w:val="1075"/>
    <w:qFormat/>
    <w:uiPriority w:val="0"/>
    <w:pPr>
      <w:spacing w:before="65" w:beforeLines="20" w:after="65" w:afterLines="20" w:line="500" w:lineRule="exact"/>
      <w:jc w:val="center"/>
      <w:textAlignment w:val="center"/>
    </w:pPr>
    <w:rPr>
      <w:rFonts w:eastAsia="微软雅黑"/>
      <w:color w:val="0D0D0D"/>
      <w:spacing w:val="14"/>
      <w:kern w:val="28"/>
      <w:sz w:val="22"/>
      <w:szCs w:val="22"/>
      <w:lang w:val="zh-CN"/>
    </w:rPr>
  </w:style>
  <w:style w:type="character" w:customStyle="1" w:styleId="1075">
    <w:name w:val="95-公式 Char"/>
    <w:link w:val="1074"/>
    <w:qFormat/>
    <w:uiPriority w:val="0"/>
    <w:rPr>
      <w:rFonts w:ascii="Times New Roman" w:hAnsi="Times New Roman" w:eastAsia="微软雅黑"/>
      <w:color w:val="0D0D0D"/>
      <w:spacing w:val="14"/>
      <w:kern w:val="28"/>
      <w:sz w:val="22"/>
      <w:szCs w:val="22"/>
      <w:lang w:val="zh-CN"/>
    </w:rPr>
  </w:style>
  <w:style w:type="paragraph" w:customStyle="1" w:styleId="1076">
    <w:name w:val="标题8（1） Char"/>
    <w:basedOn w:val="1"/>
    <w:qFormat/>
    <w:uiPriority w:val="0"/>
    <w:pPr>
      <w:spacing w:line="360" w:lineRule="auto"/>
      <w:ind w:firstLine="200" w:firstLineChars="200"/>
      <w:outlineLvl w:val="7"/>
    </w:pPr>
    <w:rPr>
      <w:rFonts w:ascii="宋体" w:hAnsi="宋体" w:cs="宋体"/>
      <w:sz w:val="26"/>
      <w:szCs w:val="26"/>
    </w:rPr>
  </w:style>
  <w:style w:type="table" w:customStyle="1" w:styleId="1077">
    <w:name w:val="网格表 4 - 着色 221"/>
    <w:basedOn w:val="88"/>
    <w:qFormat/>
    <w:uiPriority w:val="49"/>
    <w:rPr>
      <w:rFonts w:ascii="等线" w:hAnsi="等线" w:eastAsia="等线"/>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1078">
    <w:name w:val="网格型25"/>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9">
    <w:name w:val="表格主题5"/>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0">
    <w:name w:val="典雅型5"/>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081">
    <w:name w:val="列表型 33"/>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82">
    <w:name w:val="列表型 76"/>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083">
    <w:name w:val="流行型6"/>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084">
    <w:name w:val="专业型5"/>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085">
    <w:name w:val="网格型55"/>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6">
    <w:name w:val="网格型35"/>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7">
    <w:name w:val="网格型26"/>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8">
    <w:name w:val="网格型110"/>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9">
    <w:name w:val="网格型45"/>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0">
    <w:name w:val="网格型6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1">
    <w:name w:val="列表型 71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092">
    <w:name w:val="表格主题1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3">
    <w:name w:val="流行型1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094">
    <w:name w:val="专业型14"/>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095">
    <w:name w:val="典雅型14"/>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096">
    <w:name w:val="网格型1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7">
    <w:name w:val="网格型2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8">
    <w:name w:val="网格型3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9">
    <w:name w:val="网格型4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0">
    <w:name w:val="网格型5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1">
    <w:name w:val="网格型7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2">
    <w:name w:val="网格型8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3">
    <w:name w:val="网格型9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4">
    <w:name w:val="网格型10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5">
    <w:name w:val="网格型12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6">
    <w:name w:val="列表型 31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107">
    <w:name w:val="列表型 73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08">
    <w:name w:val="流行型3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09">
    <w:name w:val="表格主题3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典雅型3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111">
    <w:name w:val="列表型 74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112">
    <w:name w:val="流行型4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113">
    <w:name w:val="专业型3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114">
    <w:name w:val="网格型16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5">
    <w:name w:val="网格型23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6">
    <w:name w:val="网格型33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7">
    <w:name w:val="网格型43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8">
    <w:name w:val="网格型53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9">
    <w:name w:val="网格型6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列表型 712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121">
    <w:name w:val="表格主题1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2">
    <w:name w:val="流行型12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123">
    <w:name w:val="专业型12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124">
    <w:name w:val="典雅型12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125">
    <w:name w:val="网格型1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6">
    <w:name w:val="网格型2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7">
    <w:name w:val="网格型3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8">
    <w:name w:val="网格型4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9">
    <w:name w:val="网格型51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0">
    <w:name w:val="网格型7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1">
    <w:name w:val="网格型8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2">
    <w:name w:val="网格型9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3">
    <w:name w:val="网格型10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4">
    <w:name w:val="网格型12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5">
    <w:name w:val="网格型131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6">
    <w:name w:val="表格主题21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7">
    <w:name w:val="典雅型21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38">
    <w:name w:val="列表型 3113"/>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139">
    <w:name w:val="列表型 72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40">
    <w:name w:val="流行型2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41">
    <w:name w:val="专业型21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142">
    <w:name w:val="列表型 711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43">
    <w:name w:val="列表型 3111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144">
    <w:name w:val="专业型11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145">
    <w:name w:val="流行型11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46">
    <w:name w:val="典雅型11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47">
    <w:name w:val="网格型13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8">
    <w:name w:val="表格主题2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9">
    <w:name w:val="典雅型211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150">
    <w:name w:val="列表型 7211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151">
    <w:name w:val="流行型211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152">
    <w:name w:val="专业型211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153">
    <w:name w:val="网格型14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4">
    <w:name w:val="网格型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网格型3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6">
    <w:name w:val="网格型4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7">
    <w:name w:val="网格型5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8">
    <w:name w:val="列表型 73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59">
    <w:name w:val="流行型3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60">
    <w:name w:val="列表型 7111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61">
    <w:name w:val="流行型111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62">
    <w:name w:val="Table Normal2"/>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1163">
    <w:name w:val="网格型171"/>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4">
    <w:name w:val="表格主题4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5">
    <w:name w:val="典雅型4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66">
    <w:name w:val="列表型 32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167">
    <w:name w:val="列表型 75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168">
    <w:name w:val="流行型5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169">
    <w:name w:val="专业型4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170">
    <w:name w:val="网格型54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1">
    <w:name w:val="网格型34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2">
    <w:name w:val="网格型24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3">
    <w:name w:val="网格型18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44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网格型62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列表型 71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177">
    <w:name w:val="表格主题12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流行型1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179">
    <w:name w:val="专业型1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180">
    <w:name w:val="典雅型1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181">
    <w:name w:val="网格型1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2">
    <w:name w:val="网格型2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3">
    <w:name w:val="网格型3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网格型4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5">
    <w:name w:val="网格型5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72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8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9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网格型10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0">
    <w:name w:val="网格型12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列表型 312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192">
    <w:name w:val="网格型13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表格主题2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典雅型22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195">
    <w:name w:val="列表型 722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196">
    <w:name w:val="流行型22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197">
    <w:name w:val="专业型22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198">
    <w:name w:val="网格型14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9">
    <w:name w:val="网格型22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0">
    <w:name w:val="网格型32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1">
    <w:name w:val="网格型42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2">
    <w:name w:val="网格型52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3">
    <w:name w:val="列表型 73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04">
    <w:name w:val="流行型3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05">
    <w:name w:val="列表型 71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06">
    <w:name w:val="流行型1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07">
    <w:name w:val="专业型11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208">
    <w:name w:val="典雅型11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209">
    <w:name w:val="网格型15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表格主题3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1">
    <w:name w:val="典雅型3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212">
    <w:name w:val="列表型 3MO11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1213">
    <w:name w:val="列表型 74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214">
    <w:name w:val="流行型4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215">
    <w:name w:val="专业型3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216">
    <w:name w:val="网格型16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7">
    <w:name w:val="网格型23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8">
    <w:name w:val="网格型33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9">
    <w:name w:val="网格型43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网格型53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1">
    <w:name w:val="网格型61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2">
    <w:name w:val="列表型 712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223">
    <w:name w:val="表格主题11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4">
    <w:name w:val="流行型12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225">
    <w:name w:val="专业型12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226">
    <w:name w:val="典雅型12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227">
    <w:name w:val="网格型1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8">
    <w:name w:val="网格型2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9">
    <w:name w:val="网格型3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网格型4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1">
    <w:name w:val="网格型51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2">
    <w:name w:val="网格型711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3">
    <w:name w:val="网格型8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4">
    <w:name w:val="网格型9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5">
    <w:name w:val="网格型10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6">
    <w:name w:val="网格型121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7">
    <w:name w:val="网格型131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8">
    <w:name w:val="表格主题2121"/>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9">
    <w:name w:val="典雅型21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240">
    <w:name w:val="列表型 31121"/>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241">
    <w:name w:val="列表型 72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42">
    <w:name w:val="流行型2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43">
    <w:name w:val="专业型21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244">
    <w:name w:val="列表型 711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45">
    <w:name w:val="列表型 3111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246">
    <w:name w:val="专业型11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247">
    <w:name w:val="流行型11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48">
    <w:name w:val="典雅型11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249">
    <w:name w:val="网格型131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0">
    <w:name w:val="表格主题21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典雅型211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252">
    <w:name w:val="列表型 7211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253">
    <w:name w:val="流行型211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254">
    <w:name w:val="专业型211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255">
    <w:name w:val="网格型14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6">
    <w:name w:val="网格型22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7">
    <w:name w:val="网格型32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8">
    <w:name w:val="网格型42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9">
    <w:name w:val="网格型52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0">
    <w:name w:val="列表型 73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61">
    <w:name w:val="流行型3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62">
    <w:name w:val="列表型 7111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63">
    <w:name w:val="流行型111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64">
    <w:name w:val="Table Normal1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table" w:customStyle="1" w:styleId="1265">
    <w:name w:val="网格型191"/>
    <w:basedOn w:val="8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6">
    <w:name w:val="网格型201"/>
    <w:basedOn w:val="8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7">
    <w:name w:val="网格表 4 - 着色 222"/>
    <w:basedOn w:val="88"/>
    <w:qFormat/>
    <w:uiPriority w:val="49"/>
    <w:rPr>
      <w:rFonts w:ascii="等线" w:hAnsi="等线" w:eastAsia="等线"/>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1268">
    <w:name w:val="网格表 4 - 着色 2211"/>
    <w:basedOn w:val="88"/>
    <w:qFormat/>
    <w:uiPriority w:val="49"/>
    <w:rPr>
      <w:rFonts w:ascii="等线" w:hAnsi="等线" w:eastAsia="等线"/>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character" w:customStyle="1" w:styleId="1269">
    <w:name w:val="font61"/>
    <w:basedOn w:val="96"/>
    <w:qFormat/>
    <w:uiPriority w:val="0"/>
    <w:rPr>
      <w:rFonts w:hint="eastAsia" w:ascii="Microsoft YaHei UI" w:hAnsi="Microsoft YaHei UI" w:eastAsia="Microsoft YaHei UI"/>
      <w:color w:val="000000"/>
      <w:sz w:val="24"/>
      <w:szCs w:val="24"/>
      <w:u w:val="none"/>
    </w:rPr>
  </w:style>
  <w:style w:type="character" w:customStyle="1" w:styleId="1270">
    <w:name w:val="font81"/>
    <w:basedOn w:val="96"/>
    <w:qFormat/>
    <w:uiPriority w:val="0"/>
    <w:rPr>
      <w:rFonts w:hint="eastAsia" w:ascii="宋体" w:hAnsi="宋体" w:eastAsia="宋体" w:cs="宋体"/>
      <w:b/>
      <w:bCs/>
      <w:color w:val="000000"/>
      <w:sz w:val="24"/>
      <w:szCs w:val="24"/>
      <w:u w:val="none"/>
    </w:rPr>
  </w:style>
  <w:style w:type="character" w:customStyle="1" w:styleId="1271">
    <w:name w:val="font51"/>
    <w:basedOn w:val="96"/>
    <w:qFormat/>
    <w:uiPriority w:val="0"/>
    <w:rPr>
      <w:rFonts w:hint="eastAsia" w:ascii="仿宋_GB2312" w:eastAsia="仿宋_GB2312" w:cs="仿宋_GB2312"/>
      <w:color w:val="000000"/>
      <w:sz w:val="24"/>
      <w:szCs w:val="24"/>
      <w:u w:val="none"/>
    </w:rPr>
  </w:style>
  <w:style w:type="character" w:customStyle="1" w:styleId="1272">
    <w:name w:val="font91"/>
    <w:basedOn w:val="96"/>
    <w:qFormat/>
    <w:uiPriority w:val="0"/>
    <w:rPr>
      <w:rFonts w:ascii="Segoe UI Symbol" w:hAnsi="Segoe UI Symbol" w:eastAsia="Segoe UI Symbol" w:cs="Segoe UI Symbol"/>
      <w:color w:val="000000"/>
      <w:sz w:val="20"/>
      <w:szCs w:val="20"/>
      <w:u w:val="none"/>
    </w:rPr>
  </w:style>
  <w:style w:type="character" w:customStyle="1" w:styleId="1273">
    <w:name w:val="font101"/>
    <w:basedOn w:val="96"/>
    <w:qFormat/>
    <w:uiPriority w:val="0"/>
    <w:rPr>
      <w:rFonts w:ascii="仿宋_GB2312" w:eastAsia="仿宋_GB2312" w:cs="仿宋_GB2312"/>
      <w:b/>
      <w:bCs/>
      <w:color w:val="000000"/>
      <w:sz w:val="22"/>
      <w:szCs w:val="22"/>
      <w:u w:val="none"/>
    </w:rPr>
  </w:style>
  <w:style w:type="paragraph" w:customStyle="1" w:styleId="1274">
    <w:name w:val="丰顺城镇基准地价技术报告表头"/>
    <w:basedOn w:val="1"/>
    <w:qFormat/>
    <w:uiPriority w:val="0"/>
    <w:pPr>
      <w:spacing w:line="240" w:lineRule="auto"/>
      <w:jc w:val="center"/>
    </w:pPr>
    <w:rPr>
      <w:rFonts w:eastAsia="楷体"/>
      <w:b/>
      <w:szCs w:val="21"/>
    </w:rPr>
  </w:style>
  <w:style w:type="paragraph" w:customStyle="1" w:styleId="1275">
    <w:name w:val="丰顺城镇基准地价技术报告表格文字"/>
    <w:basedOn w:val="1"/>
    <w:qFormat/>
    <w:uiPriority w:val="0"/>
    <w:pPr>
      <w:spacing w:line="240" w:lineRule="auto"/>
      <w:jc w:val="center"/>
    </w:pPr>
    <w:rPr>
      <w:rFonts w:cs="宋体"/>
      <w:szCs w:val="20"/>
    </w:rPr>
  </w:style>
  <w:style w:type="character" w:customStyle="1" w:styleId="1276">
    <w:name w:val="正文首行缩进 字符4"/>
    <w:qFormat/>
    <w:uiPriority w:val="99"/>
    <w:rPr>
      <w:rFonts w:ascii="Calibri" w:hAnsi="Calibri"/>
      <w:kern w:val="2"/>
      <w:sz w:val="21"/>
      <w:szCs w:val="22"/>
    </w:rPr>
  </w:style>
  <w:style w:type="character" w:customStyle="1" w:styleId="1277">
    <w:name w:val="正文首行缩进 2 字符4"/>
    <w:qFormat/>
    <w:uiPriority w:val="0"/>
    <w:rPr>
      <w:kern w:val="2"/>
      <w:sz w:val="21"/>
      <w:szCs w:val="24"/>
    </w:rPr>
  </w:style>
  <w:style w:type="table" w:customStyle="1" w:styleId="1278">
    <w:name w:val="网格型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9">
    <w:name w:val="表格主题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0">
    <w:name w:val="典雅型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281">
    <w:name w:val="列表型 7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282">
    <w:name w:val="流行型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283">
    <w:name w:val="专业型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284">
    <w:name w:val="网格型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5">
    <w:name w:val="网格型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6">
    <w:name w:val="网格型3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7">
    <w:name w:val="网格型4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8">
    <w:name w:val="网格型5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9">
    <w:name w:val="列表型 711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290">
    <w:name w:val="流行型11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91">
    <w:name w:val="专业型114"/>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292">
    <w:name w:val="典雅型114"/>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293">
    <w:name w:val="网格型153"/>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4">
    <w:name w:val="列表型 3MO13"/>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paragraph" w:customStyle="1" w:styleId="1295">
    <w:name w:val="修订711"/>
    <w:hidden/>
    <w:qFormat/>
    <w:uiPriority w:val="99"/>
    <w:rPr>
      <w:rFonts w:ascii="Times New Roman" w:hAnsi="Times New Roman" w:eastAsia="宋体" w:cs="Times New Roman"/>
      <w:kern w:val="2"/>
      <w:sz w:val="21"/>
      <w:szCs w:val="24"/>
      <w:lang w:val="en-US" w:eastAsia="zh-CN" w:bidi="ar-SA"/>
    </w:rPr>
  </w:style>
  <w:style w:type="paragraph" w:customStyle="1" w:styleId="1296">
    <w:name w:val="TOC 标题71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1297">
    <w:name w:val="fontstyle31"/>
    <w:basedOn w:val="96"/>
    <w:qFormat/>
    <w:uiPriority w:val="0"/>
    <w:rPr>
      <w:rFonts w:hint="default" w:ascii="Calibri" w:hAnsi="Calibri" w:cs="Calibri"/>
      <w:color w:val="000000"/>
      <w:sz w:val="18"/>
      <w:szCs w:val="18"/>
    </w:rPr>
  </w:style>
  <w:style w:type="character" w:customStyle="1" w:styleId="1298">
    <w:name w:val="fontstyle11"/>
    <w:basedOn w:val="96"/>
    <w:qFormat/>
    <w:uiPriority w:val="0"/>
    <w:rPr>
      <w:rFonts w:hint="eastAsia" w:ascii="仿宋" w:hAnsi="仿宋" w:eastAsia="仿宋"/>
      <w:color w:val="000000"/>
      <w:sz w:val="24"/>
      <w:szCs w:val="24"/>
    </w:rPr>
  </w:style>
  <w:style w:type="paragraph" w:customStyle="1" w:styleId="1299">
    <w:name w:val="修订71"/>
    <w:hidden/>
    <w:qFormat/>
    <w:uiPriority w:val="99"/>
    <w:rPr>
      <w:rFonts w:ascii="Times New Roman" w:hAnsi="Times New Roman" w:eastAsia="宋体" w:cs="Times New Roman"/>
      <w:kern w:val="2"/>
      <w:sz w:val="21"/>
      <w:szCs w:val="24"/>
      <w:lang w:val="en-US" w:eastAsia="zh-CN" w:bidi="ar-SA"/>
    </w:rPr>
  </w:style>
  <w:style w:type="paragraph" w:customStyle="1" w:styleId="1300">
    <w:name w:val="TOC 标题7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table" w:customStyle="1" w:styleId="1301">
    <w:name w:val="表格主题3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2">
    <w:name w:val="典雅型3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03">
    <w:name w:val="列表型 74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04">
    <w:name w:val="流行型4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05">
    <w:name w:val="专业型3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06">
    <w:name w:val="网格型13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7">
    <w:name w:val="表格主题2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8">
    <w:name w:val="典雅型21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09">
    <w:name w:val="列表型 721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10">
    <w:name w:val="流行型21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11">
    <w:name w:val="专业型21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12">
    <w:name w:val="网格型13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3">
    <w:name w:val="表格主题2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4">
    <w:name w:val="典雅型22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15">
    <w:name w:val="列表型 722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16">
    <w:name w:val="流行型22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17">
    <w:name w:val="专业型22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18">
    <w:name w:val="网格型15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9">
    <w:name w:val="表格主题312"/>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0">
    <w:name w:val="典雅型3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21">
    <w:name w:val="列表型 74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22">
    <w:name w:val="流行型4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23">
    <w:name w:val="专业型3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24">
    <w:name w:val="网格型13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5">
    <w:name w:val="表格主题2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6">
    <w:name w:val="典雅型2111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27">
    <w:name w:val="列表型 72111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28">
    <w:name w:val="流行型2111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29">
    <w:name w:val="专业型2111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30">
    <w:name w:val="网格型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1">
    <w:name w:val="表格主题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2">
    <w:name w:val="典雅型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33">
    <w:name w:val="列表型 7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34">
    <w:name w:val="流行型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35">
    <w:name w:val="专业型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36">
    <w:name w:val="网格型154"/>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表格主题34"/>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8">
    <w:name w:val="典雅型34"/>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39">
    <w:name w:val="列表型 74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40">
    <w:name w:val="流行型4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41">
    <w:name w:val="专业型34"/>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42">
    <w:name w:val="网格型13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3">
    <w:name w:val="表格主题2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4">
    <w:name w:val="典雅型21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45">
    <w:name w:val="列表型 721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46">
    <w:name w:val="流行型21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47">
    <w:name w:val="专业型21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48">
    <w:name w:val="网格型13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9">
    <w:name w:val="表格主题2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0">
    <w:name w:val="典雅型2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51">
    <w:name w:val="列表型 72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52">
    <w:name w:val="流行型2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53">
    <w:name w:val="专业型2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54">
    <w:name w:val="网格型151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5">
    <w:name w:val="表格主题313"/>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6">
    <w:name w:val="典雅型31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57">
    <w:name w:val="列表型 74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58">
    <w:name w:val="流行型4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59">
    <w:name w:val="专业型31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60">
    <w:name w:val="网格型13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1">
    <w:name w:val="表格主题2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2">
    <w:name w:val="典雅型211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63">
    <w:name w:val="列表型 7211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64">
    <w:name w:val="流行型211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65">
    <w:name w:val="专业型211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66">
    <w:name w:val="网格型13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7">
    <w:name w:val="表格主题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8">
    <w:name w:val="典雅型2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69">
    <w:name w:val="列表型 72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70">
    <w:name w:val="流行型2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71">
    <w:name w:val="专业型2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72">
    <w:name w:val="网格型155"/>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3">
    <w:name w:val="表格主题35"/>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4">
    <w:name w:val="典雅型35"/>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75">
    <w:name w:val="列表型 745"/>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76">
    <w:name w:val="流行型45"/>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77">
    <w:name w:val="专业型35"/>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78">
    <w:name w:val="网格型13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9">
    <w:name w:val="表格主题2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0">
    <w:name w:val="典雅型21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81">
    <w:name w:val="列表型 72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82">
    <w:name w:val="流行型2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83">
    <w:name w:val="专业型21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84">
    <w:name w:val="网格型13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5">
    <w:name w:val="表格主题2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6">
    <w:name w:val="典雅型2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87">
    <w:name w:val="列表型 72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388">
    <w:name w:val="流行型2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389">
    <w:name w:val="专业型2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390">
    <w:name w:val="网格型1514"/>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1">
    <w:name w:val="表格主题314"/>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2">
    <w:name w:val="典雅型314"/>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393">
    <w:name w:val="列表型 741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394">
    <w:name w:val="流行型41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395">
    <w:name w:val="专业型314"/>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396">
    <w:name w:val="网格型13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7">
    <w:name w:val="表格主题2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8">
    <w:name w:val="典雅型211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399">
    <w:name w:val="列表型 7211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400">
    <w:name w:val="流行型211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401">
    <w:name w:val="专业型211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402">
    <w:name w:val="网格型13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3">
    <w:name w:val="表格主题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4">
    <w:name w:val="典雅型2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405">
    <w:name w:val="列表型 72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406">
    <w:name w:val="流行型2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407">
    <w:name w:val="专业型2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408">
    <w:name w:val="网格型156"/>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9">
    <w:name w:val="表格主题36"/>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0">
    <w:name w:val="典雅型36"/>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411">
    <w:name w:val="列表型 746"/>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412">
    <w:name w:val="流行型46"/>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413">
    <w:name w:val="专业型36"/>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414">
    <w:name w:val="网格型13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5">
    <w:name w:val="表格主题2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6">
    <w:name w:val="典雅型211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417">
    <w:name w:val="列表型 721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418">
    <w:name w:val="流行型21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419">
    <w:name w:val="专业型211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420">
    <w:name w:val="网格型13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1">
    <w:name w:val="表格主题2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2">
    <w:name w:val="典雅型2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423">
    <w:name w:val="列表型 72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424">
    <w:name w:val="流行型2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425">
    <w:name w:val="专业型2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426">
    <w:name w:val="网格型1515"/>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7">
    <w:name w:val="表格主题315"/>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8">
    <w:name w:val="典雅型315"/>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429">
    <w:name w:val="列表型 7415"/>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430">
    <w:name w:val="流行型415"/>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431">
    <w:name w:val="专业型315"/>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432">
    <w:name w:val="网格型13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3">
    <w:name w:val="表格主题2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4">
    <w:name w:val="典雅型211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435">
    <w:name w:val="列表型 721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436">
    <w:name w:val="流行型21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437">
    <w:name w:val="专业型211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customStyle="1" w:styleId="1438">
    <w:name w:val="Char Char4"/>
    <w:basedOn w:val="1"/>
    <w:qFormat/>
    <w:uiPriority w:val="0"/>
    <w:pPr>
      <w:spacing w:line="240" w:lineRule="auto"/>
    </w:pPr>
    <w:rPr>
      <w:rFonts w:ascii="宋体" w:hAnsi="宋体" w:cs="Courier New"/>
      <w:szCs w:val="32"/>
    </w:rPr>
  </w:style>
  <w:style w:type="paragraph" w:customStyle="1" w:styleId="1439">
    <w:name w:val="样式 2 + 首行缩进:  1.47 字符"/>
    <w:basedOn w:val="1"/>
    <w:qFormat/>
    <w:uiPriority w:val="0"/>
    <w:pPr>
      <w:spacing w:line="500" w:lineRule="exact"/>
      <w:ind w:firstLine="147" w:firstLineChars="147"/>
      <w:outlineLvl w:val="1"/>
    </w:pPr>
    <w:rPr>
      <w:rFonts w:ascii="宋体" w:hAnsi="宋体" w:cs="宋体"/>
      <w:b/>
      <w:bCs/>
      <w:sz w:val="28"/>
      <w:szCs w:val="20"/>
    </w:rPr>
  </w:style>
  <w:style w:type="paragraph" w:customStyle="1" w:styleId="1440">
    <w:name w:val="Char Char10"/>
    <w:basedOn w:val="1"/>
    <w:qFormat/>
    <w:uiPriority w:val="0"/>
    <w:pPr>
      <w:spacing w:line="240" w:lineRule="auto"/>
    </w:pPr>
    <w:rPr>
      <w:rFonts w:ascii="宋体" w:hAnsi="宋体" w:cs="Courier New"/>
      <w:szCs w:val="32"/>
    </w:rPr>
  </w:style>
  <w:style w:type="paragraph" w:customStyle="1" w:styleId="1441">
    <w:name w:val="修订91"/>
    <w:hidden/>
    <w:qFormat/>
    <w:uiPriority w:val="99"/>
    <w:rPr>
      <w:rFonts w:ascii="Times New Roman" w:hAnsi="Times New Roman" w:eastAsia="宋体" w:cs="Times New Roman"/>
      <w:kern w:val="2"/>
      <w:sz w:val="21"/>
      <w:szCs w:val="24"/>
      <w:lang w:val="en-US" w:eastAsia="zh-CN" w:bidi="ar-SA"/>
    </w:rPr>
  </w:style>
  <w:style w:type="paragraph" w:customStyle="1" w:styleId="1442">
    <w:name w:val="TOC 标题8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character" w:customStyle="1" w:styleId="1443">
    <w:name w:val="正文首行缩进 字符3"/>
    <w:basedOn w:val="112"/>
    <w:qFormat/>
    <w:uiPriority w:val="99"/>
    <w:rPr>
      <w:rFonts w:ascii="Calibri" w:hAnsi="Calibri" w:eastAsia="宋体" w:cs="Times New Roman"/>
      <w:kern w:val="2"/>
      <w:sz w:val="21"/>
      <w:szCs w:val="24"/>
    </w:rPr>
  </w:style>
  <w:style w:type="character" w:customStyle="1" w:styleId="1444">
    <w:name w:val="正文首行缩进 2 字符3"/>
    <w:basedOn w:val="124"/>
    <w:qFormat/>
    <w:uiPriority w:val="99"/>
    <w:rPr>
      <w:rFonts w:ascii="Times New Roman" w:hAnsi="Times New Roman" w:eastAsia="宋体" w:cs="Times New Roman"/>
      <w:kern w:val="2"/>
      <w:sz w:val="21"/>
      <w:szCs w:val="24"/>
    </w:rPr>
  </w:style>
  <w:style w:type="paragraph" w:customStyle="1" w:styleId="1445">
    <w:name w:val="z-窗体顶端31"/>
    <w:basedOn w:val="1"/>
    <w:next w:val="1"/>
    <w:unhideWhenUsed/>
    <w:qFormat/>
    <w:uiPriority w:val="99"/>
    <w:pPr>
      <w:widowControl/>
      <w:pBdr>
        <w:bottom w:val="single" w:color="auto" w:sz="6" w:space="1"/>
      </w:pBdr>
      <w:spacing w:line="240" w:lineRule="auto"/>
      <w:jc w:val="center"/>
    </w:pPr>
    <w:rPr>
      <w:rFonts w:ascii="Arial" w:hAnsi="Arial" w:cs="Arial" w:eastAsiaTheme="minorEastAsia"/>
      <w:vanish/>
      <w:sz w:val="16"/>
      <w:szCs w:val="16"/>
    </w:rPr>
  </w:style>
  <w:style w:type="paragraph" w:customStyle="1" w:styleId="1446">
    <w:name w:val="z-窗体底端41"/>
    <w:basedOn w:val="1"/>
    <w:next w:val="1"/>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paragraph" w:customStyle="1" w:styleId="1447">
    <w:name w:val="目录 61"/>
    <w:basedOn w:val="1"/>
    <w:next w:val="1"/>
    <w:qFormat/>
    <w:uiPriority w:val="39"/>
    <w:pPr>
      <w:spacing w:line="240" w:lineRule="auto"/>
      <w:ind w:left="1050"/>
      <w:jc w:val="left"/>
    </w:pPr>
    <w:rPr>
      <w:rFonts w:asciiTheme="minorHAnsi" w:hAnsiTheme="minorHAnsi"/>
      <w:sz w:val="18"/>
      <w:szCs w:val="18"/>
    </w:rPr>
  </w:style>
  <w:style w:type="paragraph" w:customStyle="1" w:styleId="1448">
    <w:name w:val="目录 51"/>
    <w:basedOn w:val="1"/>
    <w:next w:val="1"/>
    <w:qFormat/>
    <w:uiPriority w:val="39"/>
    <w:pPr>
      <w:spacing w:line="240" w:lineRule="auto"/>
      <w:ind w:left="840"/>
      <w:jc w:val="left"/>
    </w:pPr>
    <w:rPr>
      <w:rFonts w:asciiTheme="minorHAnsi" w:hAnsiTheme="minorHAnsi"/>
      <w:sz w:val="18"/>
      <w:szCs w:val="18"/>
    </w:rPr>
  </w:style>
  <w:style w:type="paragraph" w:customStyle="1" w:styleId="1449">
    <w:name w:val="目录 71"/>
    <w:basedOn w:val="1"/>
    <w:next w:val="1"/>
    <w:qFormat/>
    <w:uiPriority w:val="39"/>
    <w:pPr>
      <w:spacing w:line="240" w:lineRule="auto"/>
      <w:ind w:left="1260"/>
      <w:jc w:val="left"/>
    </w:pPr>
    <w:rPr>
      <w:rFonts w:asciiTheme="minorHAnsi" w:hAnsiTheme="minorHAnsi"/>
      <w:sz w:val="18"/>
      <w:szCs w:val="18"/>
    </w:rPr>
  </w:style>
  <w:style w:type="paragraph" w:customStyle="1" w:styleId="1450">
    <w:name w:val="目录 41"/>
    <w:basedOn w:val="1"/>
    <w:next w:val="1"/>
    <w:qFormat/>
    <w:uiPriority w:val="39"/>
    <w:pPr>
      <w:spacing w:line="240" w:lineRule="auto"/>
      <w:ind w:left="630"/>
      <w:jc w:val="left"/>
    </w:pPr>
    <w:rPr>
      <w:rFonts w:asciiTheme="minorHAnsi" w:hAnsiTheme="minorHAnsi"/>
      <w:sz w:val="18"/>
      <w:szCs w:val="18"/>
    </w:rPr>
  </w:style>
  <w:style w:type="paragraph" w:customStyle="1" w:styleId="1451">
    <w:name w:val="目录 81"/>
    <w:basedOn w:val="1"/>
    <w:next w:val="1"/>
    <w:qFormat/>
    <w:uiPriority w:val="39"/>
    <w:pPr>
      <w:spacing w:line="240" w:lineRule="auto"/>
      <w:ind w:left="1470"/>
      <w:jc w:val="left"/>
    </w:pPr>
    <w:rPr>
      <w:rFonts w:asciiTheme="minorHAnsi" w:hAnsiTheme="minorHAnsi"/>
      <w:sz w:val="18"/>
      <w:szCs w:val="18"/>
    </w:rPr>
  </w:style>
  <w:style w:type="paragraph" w:customStyle="1" w:styleId="1452">
    <w:name w:val="目录 91"/>
    <w:basedOn w:val="1"/>
    <w:next w:val="1"/>
    <w:qFormat/>
    <w:uiPriority w:val="39"/>
    <w:pPr>
      <w:spacing w:line="240" w:lineRule="auto"/>
      <w:ind w:left="1680"/>
      <w:jc w:val="left"/>
    </w:pPr>
    <w:rPr>
      <w:rFonts w:asciiTheme="minorHAnsi" w:hAnsiTheme="minorHAnsi"/>
      <w:sz w:val="18"/>
      <w:szCs w:val="18"/>
    </w:rPr>
  </w:style>
  <w:style w:type="character" w:customStyle="1" w:styleId="1453">
    <w:name w:val="书籍标题6"/>
    <w:qFormat/>
    <w:uiPriority w:val="33"/>
    <w:rPr>
      <w:b/>
      <w:bCs/>
      <w:smallCaps/>
      <w:spacing w:val="5"/>
    </w:rPr>
  </w:style>
  <w:style w:type="character" w:customStyle="1" w:styleId="1454">
    <w:name w:val="pp-headline-item pp-address"/>
    <w:qFormat/>
    <w:uiPriority w:val="0"/>
  </w:style>
  <w:style w:type="paragraph" w:customStyle="1" w:styleId="1455">
    <w:name w:val="reader-word-layer reader-s6-1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56">
    <w:name w:val="reader-word-layer reader-s6-0"/>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57">
    <w:name w:val="reader-word-layer reader-s6-10 reader-1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58">
    <w:name w:val="reader-word-layer reader-s5-0"/>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59">
    <w:name w:val="reader-word-layer reader-s5-2"/>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60">
    <w:name w:val="reader-word-layer reader-s6-1"/>
    <w:basedOn w:val="1"/>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461">
    <w:name w:val="reader-word-layer reader-s6-4"/>
    <w:basedOn w:val="1"/>
    <w:qFormat/>
    <w:uiPriority w:val="0"/>
    <w:pPr>
      <w:widowControl/>
      <w:spacing w:before="100" w:beforeAutospacing="1" w:after="100" w:afterAutospacing="1" w:line="240" w:lineRule="auto"/>
      <w:jc w:val="left"/>
    </w:pPr>
    <w:rPr>
      <w:rFonts w:ascii="宋体" w:hAnsi="宋体" w:cs="宋体"/>
      <w:kern w:val="0"/>
      <w:sz w:val="24"/>
    </w:rPr>
  </w:style>
  <w:style w:type="character" w:customStyle="1" w:styleId="1462">
    <w:name w:val="act"/>
    <w:basedOn w:val="96"/>
    <w:qFormat/>
    <w:uiPriority w:val="0"/>
  </w:style>
  <w:style w:type="character" w:customStyle="1" w:styleId="1463">
    <w:name w:val="pagecode"/>
    <w:basedOn w:val="96"/>
    <w:qFormat/>
    <w:uiPriority w:val="0"/>
  </w:style>
  <w:style w:type="character" w:customStyle="1" w:styleId="1464">
    <w:name w:val="Style1"/>
    <w:qFormat/>
    <w:uiPriority w:val="1"/>
    <w:rPr>
      <w:rFonts w:ascii="Calibri" w:hAnsi="宋体" w:eastAsia="宋体" w:cs="Times New Roman"/>
      <w:sz w:val="22"/>
      <w:szCs w:val="22"/>
      <w:lang w:eastAsia="zh-CN"/>
    </w:rPr>
  </w:style>
  <w:style w:type="character" w:customStyle="1" w:styleId="1465">
    <w:name w:val="正文111 Char"/>
    <w:qFormat/>
    <w:uiPriority w:val="0"/>
    <w:rPr>
      <w:rFonts w:ascii="宋体" w:hAnsi="宋体" w:eastAsia="宋体" w:cs="Arial"/>
      <w:kern w:val="2"/>
      <w:sz w:val="21"/>
      <w:szCs w:val="18"/>
      <w:lang w:val="en-US" w:eastAsia="zh-CN" w:bidi="ar-SA"/>
    </w:rPr>
  </w:style>
  <w:style w:type="paragraph" w:customStyle="1" w:styleId="1466">
    <w:name w:val="_Style 973"/>
    <w:basedOn w:val="1"/>
    <w:next w:val="1"/>
    <w:qFormat/>
    <w:uiPriority w:val="0"/>
    <w:pPr>
      <w:spacing w:line="240" w:lineRule="auto"/>
      <w:ind w:left="1050"/>
      <w:jc w:val="left"/>
    </w:pPr>
    <w:rPr>
      <w:sz w:val="18"/>
      <w:szCs w:val="18"/>
    </w:rPr>
  </w:style>
  <w:style w:type="paragraph" w:customStyle="1" w:styleId="1467">
    <w:name w:val="祁-4级标题"/>
    <w:basedOn w:val="6"/>
    <w:qFormat/>
    <w:uiPriority w:val="0"/>
    <w:pPr>
      <w:spacing w:beforeLines="20" w:afterLines="20" w:line="324" w:lineRule="auto"/>
      <w:jc w:val="left"/>
    </w:pPr>
    <w:rPr>
      <w:rFonts w:ascii="Times New Roman" w:hAnsi="Times New Roman"/>
      <w:b w:val="0"/>
      <w:bCs w:val="0"/>
      <w:szCs w:val="20"/>
    </w:rPr>
  </w:style>
  <w:style w:type="paragraph" w:customStyle="1" w:styleId="1468">
    <w:name w:val="祁-正文"/>
    <w:basedOn w:val="1"/>
    <w:qFormat/>
    <w:uiPriority w:val="0"/>
    <w:pPr>
      <w:spacing w:line="324" w:lineRule="auto"/>
      <w:ind w:firstLine="200" w:firstLineChars="200"/>
    </w:pPr>
    <w:rPr>
      <w:sz w:val="24"/>
      <w:szCs w:val="20"/>
    </w:rPr>
  </w:style>
  <w:style w:type="paragraph" w:customStyle="1" w:styleId="1469">
    <w:name w:val="正文111"/>
    <w:basedOn w:val="1"/>
    <w:qFormat/>
    <w:uiPriority w:val="0"/>
    <w:pPr>
      <w:spacing w:line="300" w:lineRule="auto"/>
      <w:ind w:firstLine="200" w:firstLineChars="200"/>
    </w:pPr>
    <w:rPr>
      <w:rFonts w:ascii="宋体" w:hAnsi="宋体" w:cs="Arial"/>
      <w:szCs w:val="18"/>
    </w:rPr>
  </w:style>
  <w:style w:type="paragraph" w:customStyle="1" w:styleId="1470">
    <w:name w:val="祁-表名"/>
    <w:basedOn w:val="1468"/>
    <w:qFormat/>
    <w:uiPriority w:val="0"/>
    <w:pPr>
      <w:ind w:firstLine="0" w:firstLineChars="0"/>
      <w:jc w:val="center"/>
    </w:pPr>
    <w:rPr>
      <w:b/>
      <w:sz w:val="21"/>
    </w:rPr>
  </w:style>
  <w:style w:type="paragraph" w:customStyle="1" w:styleId="1471">
    <w:name w:val="祁-表头单位"/>
    <w:basedOn w:val="1"/>
    <w:qFormat/>
    <w:uiPriority w:val="0"/>
    <w:pPr>
      <w:spacing w:line="240" w:lineRule="auto"/>
      <w:jc w:val="right"/>
    </w:pPr>
    <w:rPr>
      <w:sz w:val="18"/>
      <w:szCs w:val="18"/>
    </w:rPr>
  </w:style>
  <w:style w:type="paragraph" w:customStyle="1" w:styleId="1472">
    <w:name w:val="正文文本框"/>
    <w:basedOn w:val="1"/>
    <w:qFormat/>
    <w:uiPriority w:val="0"/>
    <w:pPr>
      <w:spacing w:line="240" w:lineRule="auto"/>
      <w:jc w:val="center"/>
    </w:pPr>
    <w:rPr>
      <w:sz w:val="18"/>
    </w:rPr>
  </w:style>
  <w:style w:type="paragraph" w:customStyle="1" w:styleId="1473">
    <w:name w:val="祁-3级标题"/>
    <w:basedOn w:val="5"/>
    <w:qFormat/>
    <w:uiPriority w:val="0"/>
    <w:pPr>
      <w:autoSpaceDE/>
      <w:autoSpaceDN/>
      <w:adjustRightInd/>
      <w:snapToGrid/>
      <w:spacing w:before="260" w:beforeLines="20" w:after="260" w:afterLines="20" w:line="324" w:lineRule="auto"/>
      <w:jc w:val="center"/>
    </w:pPr>
    <w:rPr>
      <w:rFonts w:eastAsia="黑体"/>
      <w:b w:val="0"/>
      <w:bCs w:val="0"/>
      <w:kern w:val="2"/>
      <w:szCs w:val="20"/>
      <w:lang w:val="en-US"/>
    </w:rPr>
  </w:style>
  <w:style w:type="paragraph" w:customStyle="1" w:styleId="1474">
    <w:name w:val="祁-表内容"/>
    <w:basedOn w:val="1"/>
    <w:qFormat/>
    <w:uiPriority w:val="0"/>
    <w:pPr>
      <w:spacing w:line="240" w:lineRule="auto"/>
      <w:jc w:val="center"/>
    </w:pPr>
    <w:rPr>
      <w:sz w:val="18"/>
      <w:szCs w:val="20"/>
    </w:rPr>
  </w:style>
  <w:style w:type="paragraph" w:customStyle="1" w:styleId="1475">
    <w:name w:val="祁-图名"/>
    <w:basedOn w:val="1"/>
    <w:qFormat/>
    <w:uiPriority w:val="0"/>
    <w:pPr>
      <w:spacing w:line="324" w:lineRule="auto"/>
      <w:jc w:val="center"/>
    </w:pPr>
    <w:rPr>
      <w:b/>
      <w:szCs w:val="20"/>
    </w:rPr>
  </w:style>
  <w:style w:type="paragraph" w:customStyle="1" w:styleId="1476">
    <w:name w:val="Char7"/>
    <w:basedOn w:val="1"/>
    <w:qFormat/>
    <w:uiPriority w:val="0"/>
    <w:pPr>
      <w:widowControl/>
      <w:adjustRightInd w:val="0"/>
      <w:spacing w:after="160" w:line="240" w:lineRule="exact"/>
      <w:jc w:val="left"/>
      <w:textAlignment w:val="baseline"/>
    </w:pPr>
    <w:rPr>
      <w:szCs w:val="20"/>
    </w:rPr>
  </w:style>
  <w:style w:type="character" w:customStyle="1" w:styleId="1477">
    <w:name w:val="书籍标题7"/>
    <w:qFormat/>
    <w:uiPriority w:val="33"/>
    <w:rPr>
      <w:b/>
      <w:bCs/>
      <w:smallCaps/>
      <w:spacing w:val="5"/>
    </w:rPr>
  </w:style>
  <w:style w:type="paragraph" w:customStyle="1" w:styleId="1478">
    <w:name w:val="z-窗体顶端5"/>
    <w:basedOn w:val="1"/>
    <w:next w:val="1"/>
    <w:hidden/>
    <w:unhideWhenUsed/>
    <w:qFormat/>
    <w:uiPriority w:val="99"/>
    <w:pPr>
      <w:widowControl/>
      <w:pBdr>
        <w:bottom w:val="single" w:color="auto" w:sz="6" w:space="1"/>
      </w:pBdr>
      <w:spacing w:line="240" w:lineRule="auto"/>
      <w:jc w:val="center"/>
    </w:pPr>
    <w:rPr>
      <w:rFonts w:ascii="Arial" w:hAnsi="Arial" w:cs="Arial"/>
      <w:vanish/>
      <w:sz w:val="16"/>
      <w:szCs w:val="16"/>
    </w:rPr>
  </w:style>
  <w:style w:type="paragraph" w:customStyle="1" w:styleId="1479">
    <w:name w:val="z-窗体底端5"/>
    <w:basedOn w:val="1"/>
    <w:next w:val="1"/>
    <w:hidden/>
    <w:unhideWhenUsed/>
    <w:qFormat/>
    <w:uiPriority w:val="99"/>
    <w:pPr>
      <w:widowControl/>
      <w:pBdr>
        <w:top w:val="single" w:color="auto" w:sz="6" w:space="1"/>
      </w:pBdr>
      <w:spacing w:line="240" w:lineRule="auto"/>
      <w:jc w:val="center"/>
    </w:pPr>
    <w:rPr>
      <w:rFonts w:ascii="Arial" w:hAnsi="Arial" w:cs="Arial"/>
      <w:vanish/>
      <w:sz w:val="16"/>
      <w:szCs w:val="16"/>
    </w:rPr>
  </w:style>
  <w:style w:type="paragraph" w:customStyle="1" w:styleId="1480">
    <w:name w:val="表格正文"/>
    <w:basedOn w:val="1"/>
    <w:link w:val="1481"/>
    <w:qFormat/>
    <w:uiPriority w:val="0"/>
    <w:pPr>
      <w:spacing w:line="240" w:lineRule="auto"/>
      <w:jc w:val="center"/>
    </w:pPr>
    <w:rPr>
      <w:rFonts w:ascii="仿宋_GB2312" w:hAnsi="宋体" w:eastAsia="仿宋_GB2312"/>
      <w:w w:val="90"/>
      <w:kern w:val="0"/>
      <w:sz w:val="24"/>
      <w:szCs w:val="28"/>
    </w:rPr>
  </w:style>
  <w:style w:type="character" w:customStyle="1" w:styleId="1481">
    <w:name w:val="表格正文 Char"/>
    <w:link w:val="1480"/>
    <w:qFormat/>
    <w:uiPriority w:val="0"/>
    <w:rPr>
      <w:rFonts w:ascii="仿宋_GB2312" w:hAnsi="宋体" w:eastAsia="仿宋_GB2312"/>
      <w:w w:val="90"/>
      <w:sz w:val="24"/>
      <w:szCs w:val="28"/>
    </w:rPr>
  </w:style>
  <w:style w:type="paragraph" w:customStyle="1" w:styleId="1482">
    <w:name w:val="扶风正文"/>
    <w:basedOn w:val="1"/>
    <w:link w:val="1483"/>
    <w:qFormat/>
    <w:uiPriority w:val="0"/>
    <w:pPr>
      <w:spacing w:line="500" w:lineRule="exact"/>
      <w:ind w:firstLine="200" w:firstLineChars="200"/>
    </w:pPr>
    <w:rPr>
      <w:sz w:val="24"/>
    </w:rPr>
  </w:style>
  <w:style w:type="character" w:customStyle="1" w:styleId="1483">
    <w:name w:val="扶风正文 Char"/>
    <w:link w:val="1482"/>
    <w:qFormat/>
    <w:uiPriority w:val="0"/>
    <w:rPr>
      <w:rFonts w:ascii="Times New Roman" w:hAnsi="Times New Roman"/>
      <w:kern w:val="2"/>
      <w:sz w:val="24"/>
      <w:szCs w:val="24"/>
    </w:rPr>
  </w:style>
  <w:style w:type="paragraph" w:customStyle="1" w:styleId="1484">
    <w:name w:val="样式 行距: 固定值 25 磅"/>
    <w:basedOn w:val="1"/>
    <w:qFormat/>
    <w:uiPriority w:val="0"/>
    <w:pPr>
      <w:widowControl/>
      <w:spacing w:line="500" w:lineRule="exact"/>
      <w:ind w:firstLine="200" w:firstLineChars="200"/>
      <w:jc w:val="left"/>
    </w:pPr>
    <w:rPr>
      <w:rFonts w:cs="宋体"/>
      <w:sz w:val="24"/>
      <w:szCs w:val="20"/>
    </w:rPr>
  </w:style>
  <w:style w:type="paragraph" w:customStyle="1" w:styleId="1485">
    <w:name w:val="Char Char Char Char Char Char Char Char Char4"/>
    <w:basedOn w:val="1"/>
    <w:qFormat/>
    <w:uiPriority w:val="0"/>
    <w:pPr>
      <w:widowControl/>
      <w:spacing w:after="160" w:line="240" w:lineRule="exact"/>
      <w:jc w:val="left"/>
    </w:pPr>
    <w:rPr>
      <w:szCs w:val="20"/>
    </w:rPr>
  </w:style>
  <w:style w:type="paragraph" w:customStyle="1" w:styleId="1486">
    <w:name w:val="5"/>
    <w:basedOn w:val="1"/>
    <w:next w:val="1"/>
    <w:qFormat/>
    <w:uiPriority w:val="0"/>
    <w:pPr>
      <w:spacing w:line="240" w:lineRule="auto"/>
      <w:ind w:left="1050"/>
      <w:jc w:val="left"/>
    </w:pPr>
    <w:rPr>
      <w:sz w:val="18"/>
      <w:szCs w:val="18"/>
    </w:rPr>
  </w:style>
  <w:style w:type="paragraph" w:customStyle="1" w:styleId="1487">
    <w:name w:val="xl8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0"/>
      <w:szCs w:val="20"/>
    </w:rPr>
  </w:style>
  <w:style w:type="paragraph" w:customStyle="1" w:styleId="1488">
    <w:name w:val="xl86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line="240" w:lineRule="auto"/>
      <w:jc w:val="center"/>
      <w:textAlignment w:val="center"/>
    </w:pPr>
    <w:rPr>
      <w:rFonts w:ascii="宋体" w:hAnsi="宋体" w:cs="宋体"/>
      <w:kern w:val="0"/>
      <w:sz w:val="20"/>
      <w:szCs w:val="20"/>
    </w:rPr>
  </w:style>
  <w:style w:type="paragraph" w:customStyle="1" w:styleId="1489">
    <w:name w:val="xl8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cs="宋体"/>
      <w:kern w:val="0"/>
      <w:sz w:val="20"/>
      <w:szCs w:val="20"/>
    </w:rPr>
  </w:style>
  <w:style w:type="paragraph" w:customStyle="1" w:styleId="1490">
    <w:name w:val="xl8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4"/>
    </w:rPr>
  </w:style>
  <w:style w:type="paragraph" w:customStyle="1" w:styleId="1491">
    <w:name w:val="xl864"/>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line="240" w:lineRule="auto"/>
      <w:jc w:val="left"/>
      <w:textAlignment w:val="center"/>
    </w:pPr>
    <w:rPr>
      <w:rFonts w:ascii="宋体" w:hAnsi="宋体" w:cs="宋体"/>
      <w:kern w:val="0"/>
      <w:sz w:val="20"/>
      <w:szCs w:val="20"/>
    </w:rPr>
  </w:style>
  <w:style w:type="paragraph" w:customStyle="1" w:styleId="1492">
    <w:name w:val="xl8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1493">
    <w:name w:val="xl8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1494">
    <w:name w:val="xl867"/>
    <w:basedOn w:val="1"/>
    <w:qFormat/>
    <w:uiPriority w:val="0"/>
    <w:pPr>
      <w:widowControl/>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1495">
    <w:name w:val="xl8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1496">
    <w:name w:val="xl86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line="240" w:lineRule="auto"/>
      <w:jc w:val="center"/>
      <w:textAlignment w:val="center"/>
    </w:pPr>
    <w:rPr>
      <w:rFonts w:ascii="宋体" w:hAnsi="宋体" w:cs="宋体"/>
      <w:kern w:val="0"/>
      <w:sz w:val="24"/>
    </w:rPr>
  </w:style>
  <w:style w:type="paragraph" w:customStyle="1" w:styleId="1497">
    <w:name w:val="xl870"/>
    <w:basedOn w:val="1"/>
    <w:qFormat/>
    <w:uiPriority w:val="0"/>
    <w:pPr>
      <w:widowControl/>
      <w:spacing w:before="100" w:beforeAutospacing="1" w:after="100" w:afterAutospacing="1" w:line="240" w:lineRule="auto"/>
      <w:jc w:val="center"/>
      <w:textAlignment w:val="center"/>
    </w:pPr>
    <w:rPr>
      <w:rFonts w:ascii="宋体" w:hAnsi="宋体" w:cs="宋体"/>
      <w:color w:val="000000"/>
      <w:kern w:val="0"/>
      <w:sz w:val="22"/>
      <w:szCs w:val="22"/>
    </w:rPr>
  </w:style>
  <w:style w:type="paragraph" w:customStyle="1" w:styleId="1498">
    <w:name w:val="xl87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left"/>
      <w:textAlignment w:val="center"/>
    </w:pPr>
    <w:rPr>
      <w:rFonts w:ascii="宋体" w:hAnsi="宋体" w:cs="宋体"/>
      <w:kern w:val="0"/>
      <w:sz w:val="20"/>
      <w:szCs w:val="20"/>
    </w:rPr>
  </w:style>
  <w:style w:type="paragraph" w:customStyle="1" w:styleId="1499">
    <w:name w:val="xl872"/>
    <w:basedOn w:val="1"/>
    <w:qFormat/>
    <w:uiPriority w:val="0"/>
    <w:pPr>
      <w:widowControl/>
      <w:spacing w:before="100" w:beforeAutospacing="1" w:after="100" w:afterAutospacing="1" w:line="240" w:lineRule="auto"/>
      <w:jc w:val="center"/>
      <w:textAlignment w:val="center"/>
    </w:pPr>
    <w:rPr>
      <w:rFonts w:ascii="宋体" w:hAnsi="宋体" w:cs="宋体"/>
      <w:kern w:val="0"/>
      <w:sz w:val="22"/>
      <w:szCs w:val="22"/>
    </w:rPr>
  </w:style>
  <w:style w:type="paragraph" w:customStyle="1" w:styleId="1500">
    <w:name w:val="xl87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line="240" w:lineRule="auto"/>
      <w:jc w:val="center"/>
      <w:textAlignment w:val="center"/>
    </w:pPr>
    <w:rPr>
      <w:rFonts w:ascii="宋体" w:hAnsi="宋体" w:cs="宋体"/>
      <w:kern w:val="0"/>
      <w:sz w:val="24"/>
    </w:rPr>
  </w:style>
  <w:style w:type="character" w:customStyle="1" w:styleId="1501">
    <w:name w:val="标题 1 字符2"/>
    <w:qFormat/>
    <w:uiPriority w:val="0"/>
    <w:rPr>
      <w:rFonts w:ascii="Times New Roman" w:hAnsi="Times New Roman" w:eastAsia="宋体" w:cs="Times New Roman"/>
      <w:b/>
      <w:bCs/>
      <w:kern w:val="44"/>
      <w:sz w:val="44"/>
      <w:szCs w:val="44"/>
    </w:rPr>
  </w:style>
  <w:style w:type="character" w:customStyle="1" w:styleId="1502">
    <w:name w:val="标题 2 字符2"/>
    <w:qFormat/>
    <w:uiPriority w:val="0"/>
    <w:rPr>
      <w:rFonts w:ascii="Arial" w:hAnsi="Arial" w:eastAsia="黑体" w:cs="Times New Roman"/>
      <w:b/>
      <w:bCs/>
      <w:sz w:val="32"/>
      <w:szCs w:val="32"/>
    </w:rPr>
  </w:style>
  <w:style w:type="character" w:customStyle="1" w:styleId="1503">
    <w:name w:val="标题 3 字符2"/>
    <w:qFormat/>
    <w:uiPriority w:val="0"/>
    <w:rPr>
      <w:rFonts w:ascii="Times New Roman" w:hAnsi="Times New Roman" w:eastAsia="宋体" w:cs="Times New Roman"/>
      <w:b/>
      <w:bCs/>
      <w:sz w:val="32"/>
      <w:szCs w:val="32"/>
    </w:rPr>
  </w:style>
  <w:style w:type="character" w:customStyle="1" w:styleId="1504">
    <w:name w:val="纯文本 字符3"/>
    <w:qFormat/>
    <w:uiPriority w:val="0"/>
    <w:rPr>
      <w:rFonts w:ascii="Times New Roman" w:hAnsi="Times New Roman" w:eastAsia="仿宋_GB2312" w:cs="Times New Roman"/>
      <w:kern w:val="28"/>
      <w:sz w:val="24"/>
      <w:szCs w:val="24"/>
    </w:rPr>
  </w:style>
  <w:style w:type="character" w:customStyle="1" w:styleId="1505">
    <w:name w:val="正文文本 2 字符3"/>
    <w:qFormat/>
    <w:uiPriority w:val="0"/>
    <w:rPr>
      <w:rFonts w:ascii="Times New Roman" w:hAnsi="Times New Roman" w:eastAsia="宋体" w:cs="Times New Roman"/>
      <w:szCs w:val="24"/>
    </w:rPr>
  </w:style>
  <w:style w:type="character" w:customStyle="1" w:styleId="1506">
    <w:name w:val="纯文本 字符2"/>
    <w:qFormat/>
    <w:uiPriority w:val="0"/>
    <w:rPr>
      <w:rFonts w:ascii="宋体" w:hAnsi="Courier New" w:eastAsia="宋体" w:cs="Courier New"/>
      <w:kern w:val="2"/>
      <w:sz w:val="21"/>
      <w:szCs w:val="21"/>
    </w:rPr>
  </w:style>
  <w:style w:type="character" w:customStyle="1" w:styleId="1507">
    <w:name w:val="(DK 正文) Char Char"/>
    <w:link w:val="1508"/>
    <w:qFormat/>
    <w:uiPriority w:val="0"/>
    <w:rPr>
      <w:rFonts w:ascii="宋体"/>
      <w:sz w:val="24"/>
      <w:szCs w:val="24"/>
    </w:rPr>
  </w:style>
  <w:style w:type="paragraph" w:customStyle="1" w:styleId="1508">
    <w:name w:val="(DK 正文)"/>
    <w:basedOn w:val="1"/>
    <w:link w:val="1507"/>
    <w:qFormat/>
    <w:uiPriority w:val="0"/>
    <w:pPr>
      <w:spacing w:line="240" w:lineRule="auto"/>
      <w:ind w:firstLine="200" w:firstLineChars="200"/>
    </w:pPr>
    <w:rPr>
      <w:rFonts w:ascii="宋体" w:hAnsi="Calibri"/>
      <w:kern w:val="0"/>
      <w:sz w:val="24"/>
    </w:rPr>
  </w:style>
  <w:style w:type="character" w:customStyle="1" w:styleId="1509">
    <w:name w:val="font131"/>
    <w:qFormat/>
    <w:uiPriority w:val="0"/>
    <w:rPr>
      <w:rFonts w:hint="eastAsia" w:ascii="仿宋_GB2312" w:hAnsi="Calibri" w:eastAsia="仿宋_GB2312" w:cs="Times New Roman"/>
      <w:color w:val="000000"/>
      <w:sz w:val="24"/>
      <w:szCs w:val="24"/>
      <w:u w:val="none"/>
    </w:rPr>
  </w:style>
  <w:style w:type="character" w:customStyle="1" w:styleId="1510">
    <w:name w:val="文档结构图 字符2"/>
    <w:qFormat/>
    <w:uiPriority w:val="0"/>
    <w:rPr>
      <w:rFonts w:ascii="Times New Roman" w:hAnsi="Times New Roman" w:eastAsia="仿宋_GB2312" w:cs="Times New Roman"/>
      <w:kern w:val="2"/>
      <w:sz w:val="24"/>
      <w:szCs w:val="24"/>
      <w:shd w:val="clear" w:color="auto" w:fill="000080"/>
    </w:rPr>
  </w:style>
  <w:style w:type="character" w:customStyle="1" w:styleId="1511">
    <w:name w:val="批注主题 字符2"/>
    <w:qFormat/>
    <w:uiPriority w:val="0"/>
    <w:rPr>
      <w:rFonts w:ascii="Times New Roman" w:hAnsi="Times New Roman" w:eastAsia="仿宋_GB2312" w:cs="Times New Roman"/>
      <w:b/>
      <w:bCs/>
      <w:kern w:val="2"/>
      <w:sz w:val="24"/>
      <w:szCs w:val="24"/>
    </w:rPr>
  </w:style>
  <w:style w:type="character" w:customStyle="1" w:styleId="1512">
    <w:name w:val="称呼 字符2"/>
    <w:qFormat/>
    <w:uiPriority w:val="0"/>
    <w:rPr>
      <w:rFonts w:ascii="Calibri" w:hAnsi="Calibri" w:eastAsia="宋体" w:cs="Times New Roman"/>
      <w:kern w:val="2"/>
      <w:sz w:val="21"/>
      <w:szCs w:val="24"/>
    </w:rPr>
  </w:style>
  <w:style w:type="character" w:customStyle="1" w:styleId="1513">
    <w:name w:val="HTML 地址 字符2"/>
    <w:qFormat/>
    <w:uiPriority w:val="0"/>
    <w:rPr>
      <w:rFonts w:ascii="宋体" w:hAnsi="宋体" w:eastAsia="宋体" w:cs="宋体"/>
      <w:i/>
      <w:iCs/>
      <w:sz w:val="24"/>
      <w:szCs w:val="24"/>
    </w:rPr>
  </w:style>
  <w:style w:type="character" w:customStyle="1" w:styleId="1514">
    <w:name w:val="样式 黑体 黑色 Char Char Char"/>
    <w:qFormat/>
    <w:uiPriority w:val="0"/>
    <w:rPr>
      <w:rFonts w:ascii="黑体" w:hAnsi="Times New Roman" w:eastAsia="黑体" w:cs="Times New Roman"/>
      <w:bCs/>
      <w:color w:val="000000"/>
      <w:sz w:val="21"/>
      <w:szCs w:val="24"/>
    </w:rPr>
  </w:style>
  <w:style w:type="character" w:customStyle="1" w:styleId="1515">
    <w:name w:val="Char Char24"/>
    <w:qFormat/>
    <w:uiPriority w:val="0"/>
    <w:rPr>
      <w:rFonts w:ascii="黑体" w:hAnsi="Calibri" w:eastAsia="黑体" w:cs="Times New Roman"/>
      <w:b/>
      <w:bCs/>
      <w:kern w:val="44"/>
      <w:sz w:val="28"/>
      <w:szCs w:val="28"/>
      <w:lang w:val="en-US" w:eastAsia="zh-CN" w:bidi="ar-SA"/>
    </w:rPr>
  </w:style>
  <w:style w:type="character" w:customStyle="1" w:styleId="1516">
    <w:name w:val="HTML 预设格式 字符2"/>
    <w:qFormat/>
    <w:uiPriority w:val="0"/>
    <w:rPr>
      <w:rFonts w:ascii="Courier New" w:hAnsi="Courier New" w:eastAsia="宋体" w:cs="Courier New"/>
      <w:kern w:val="2"/>
    </w:rPr>
  </w:style>
  <w:style w:type="character" w:customStyle="1" w:styleId="1517">
    <w:name w:val="宏文本 字符2"/>
    <w:qFormat/>
    <w:uiPriority w:val="0"/>
    <w:rPr>
      <w:rFonts w:ascii="Courier New" w:hAnsi="Courier New" w:eastAsia="宋体" w:cs="Times New Roman"/>
      <w:kern w:val="2"/>
      <w:sz w:val="24"/>
      <w:szCs w:val="24"/>
    </w:rPr>
  </w:style>
  <w:style w:type="character" w:customStyle="1" w:styleId="1518">
    <w:name w:val="正文文本缩进 字符2"/>
    <w:qFormat/>
    <w:uiPriority w:val="0"/>
    <w:rPr>
      <w:rFonts w:ascii="仿宋_GB2312" w:hAnsi="Calibri" w:eastAsia="仿宋_GB2312" w:cs="Times New Roman"/>
      <w:kern w:val="2"/>
      <w:sz w:val="24"/>
      <w:szCs w:val="24"/>
    </w:rPr>
  </w:style>
  <w:style w:type="character" w:customStyle="1" w:styleId="1519">
    <w:name w:val="正文文本 2 字符2"/>
    <w:qFormat/>
    <w:uiPriority w:val="0"/>
    <w:rPr>
      <w:rFonts w:ascii="Calibri" w:hAnsi="Calibri" w:eastAsia="仿宋_GB2312" w:cs="Times New Roman"/>
      <w:spacing w:val="-20"/>
      <w:kern w:val="28"/>
      <w:sz w:val="21"/>
      <w:szCs w:val="24"/>
    </w:rPr>
  </w:style>
  <w:style w:type="character" w:customStyle="1" w:styleId="1520">
    <w:name w:val="正文样式1 Char Char Char"/>
    <w:qFormat/>
    <w:uiPriority w:val="0"/>
    <w:rPr>
      <w:rFonts w:ascii="宋体" w:hAnsi="宋体" w:eastAsia="宋体" w:cs="Times New Roman"/>
      <w:kern w:val="2"/>
      <w:sz w:val="21"/>
      <w:szCs w:val="21"/>
    </w:rPr>
  </w:style>
  <w:style w:type="character" w:customStyle="1" w:styleId="1521">
    <w:name w:val="正文普宁 Char Char Char"/>
    <w:qFormat/>
    <w:uiPriority w:val="0"/>
    <w:rPr>
      <w:rFonts w:ascii="Times New Roman" w:hAnsi="Times New Roman" w:eastAsia="宋体" w:cs="Times New Roman"/>
      <w:kern w:val="2"/>
      <w:sz w:val="21"/>
      <w:szCs w:val="24"/>
    </w:rPr>
  </w:style>
  <w:style w:type="character" w:customStyle="1" w:styleId="1522">
    <w:name w:val="Char Char34"/>
    <w:qFormat/>
    <w:uiPriority w:val="0"/>
    <w:rPr>
      <w:rFonts w:ascii="宋体" w:hAnsi="宋体" w:eastAsia="仿宋_GB2312" w:cs="Times New Roman"/>
      <w:b/>
      <w:kern w:val="24"/>
      <w:sz w:val="28"/>
      <w:lang w:val="en-US" w:eastAsia="zh-CN" w:bidi="ar-SA"/>
    </w:rPr>
  </w:style>
  <w:style w:type="character" w:customStyle="1" w:styleId="1523">
    <w:name w:val="5正文 Char Char"/>
    <w:qFormat/>
    <w:uiPriority w:val="0"/>
    <w:rPr>
      <w:rFonts w:ascii="Calibri" w:hAnsi="Calibri" w:eastAsia="宋体" w:cs="Times New Roman"/>
      <w:sz w:val="21"/>
      <w:szCs w:val="24"/>
      <w:lang w:val="en-US" w:eastAsia="zh-CN" w:bidi="ar-SA"/>
    </w:rPr>
  </w:style>
  <w:style w:type="character" w:customStyle="1" w:styleId="1524">
    <w:name w:val="文本正文 Char Char"/>
    <w:qFormat/>
    <w:uiPriority w:val="0"/>
    <w:rPr>
      <w:rFonts w:ascii="Calibri" w:hAnsi="Calibri" w:eastAsia="宋体" w:cs="Times New Roman"/>
      <w:sz w:val="24"/>
    </w:rPr>
  </w:style>
  <w:style w:type="character" w:customStyle="1" w:styleId="1525">
    <w:name w:val="正文样式2 Char Char Char"/>
    <w:qFormat/>
    <w:uiPriority w:val="0"/>
    <w:rPr>
      <w:rFonts w:ascii="Times New Roman" w:hAnsi="Times New Roman" w:eastAsia="宋体" w:cs="Times New Roman"/>
      <w:b/>
      <w:kern w:val="2"/>
      <w:sz w:val="21"/>
      <w:szCs w:val="24"/>
    </w:rPr>
  </w:style>
  <w:style w:type="character" w:customStyle="1" w:styleId="1526">
    <w:name w:val="签名 字符2"/>
    <w:qFormat/>
    <w:uiPriority w:val="0"/>
    <w:rPr>
      <w:rFonts w:ascii="Calibri" w:hAnsi="Calibri" w:eastAsia="宋体" w:cs="Times New Roman"/>
      <w:kern w:val="2"/>
      <w:sz w:val="21"/>
      <w:szCs w:val="24"/>
    </w:rPr>
  </w:style>
  <w:style w:type="character" w:customStyle="1" w:styleId="1527">
    <w:name w:val="Char Char Char23"/>
    <w:qFormat/>
    <w:uiPriority w:val="0"/>
    <w:rPr>
      <w:rFonts w:ascii="仿宋_GB2312" w:hAnsi="Calibri" w:eastAsia="仿宋_GB2312" w:cs="Times New Roman"/>
      <w:b/>
      <w:bCs/>
      <w:kern w:val="44"/>
      <w:sz w:val="24"/>
      <w:szCs w:val="28"/>
      <w:lang w:val="en-US" w:eastAsia="zh-CN" w:bidi="ar-SA"/>
    </w:rPr>
  </w:style>
  <w:style w:type="character" w:customStyle="1" w:styleId="1528">
    <w:name w:val="标题 字符2"/>
    <w:qFormat/>
    <w:uiPriority w:val="0"/>
    <w:rPr>
      <w:rFonts w:ascii="Arial" w:hAnsi="Arial" w:eastAsia="宋体" w:cs="Arial"/>
      <w:b/>
      <w:bCs/>
      <w:kern w:val="2"/>
      <w:sz w:val="32"/>
      <w:szCs w:val="32"/>
    </w:rPr>
  </w:style>
  <w:style w:type="character" w:customStyle="1" w:styleId="1529">
    <w:name w:val="Char Char333"/>
    <w:qFormat/>
    <w:uiPriority w:val="0"/>
    <w:rPr>
      <w:rFonts w:ascii="Calibri" w:hAnsi="Calibri" w:eastAsia="宋体" w:cs="Times New Roman"/>
      <w:b/>
      <w:bCs/>
      <w:kern w:val="2"/>
      <w:sz w:val="28"/>
      <w:szCs w:val="28"/>
      <w:lang w:val="en-US" w:eastAsia="zh-CN" w:bidi="ar-SA"/>
    </w:rPr>
  </w:style>
  <w:style w:type="character" w:customStyle="1" w:styleId="1530">
    <w:name w:val="正文+宋体 Char Char"/>
    <w:qFormat/>
    <w:uiPriority w:val="0"/>
    <w:rPr>
      <w:rFonts w:ascii="楷体_GB2312" w:hAnsi="宋体" w:eastAsia="楷体_GB2312" w:cs="Times New Roman"/>
      <w:b/>
      <w:bCs/>
      <w:kern w:val="2"/>
      <w:sz w:val="28"/>
    </w:rPr>
  </w:style>
  <w:style w:type="character" w:customStyle="1" w:styleId="1531">
    <w:name w:val="正文首行缩进 2 字符2"/>
    <w:qFormat/>
    <w:uiPriority w:val="0"/>
    <w:rPr>
      <w:rFonts w:ascii="仿宋_GB2312" w:hAnsi="Calibri" w:eastAsia="仿宋_GB2312" w:cs="Times New Roman"/>
      <w:kern w:val="2"/>
      <w:sz w:val="21"/>
      <w:szCs w:val="24"/>
    </w:rPr>
  </w:style>
  <w:style w:type="character" w:customStyle="1" w:styleId="1532">
    <w:name w:val="电子邮件签名 字符2"/>
    <w:qFormat/>
    <w:uiPriority w:val="0"/>
    <w:rPr>
      <w:rFonts w:ascii="Calibri" w:hAnsi="Calibri" w:eastAsia="宋体" w:cs="Times New Roman"/>
      <w:kern w:val="2"/>
      <w:sz w:val="21"/>
      <w:szCs w:val="24"/>
    </w:rPr>
  </w:style>
  <w:style w:type="character" w:customStyle="1" w:styleId="1533">
    <w:name w:val="注释标题 字符2"/>
    <w:qFormat/>
    <w:uiPriority w:val="0"/>
    <w:rPr>
      <w:rFonts w:ascii="Calibri" w:hAnsi="Calibri" w:eastAsia="宋体" w:cs="Times New Roman"/>
      <w:kern w:val="2"/>
      <w:sz w:val="21"/>
      <w:szCs w:val="24"/>
    </w:rPr>
  </w:style>
  <w:style w:type="character" w:customStyle="1" w:styleId="1534">
    <w:name w:val="结束语 字符2"/>
    <w:qFormat/>
    <w:uiPriority w:val="0"/>
    <w:rPr>
      <w:rFonts w:ascii="Calibri" w:hAnsi="Calibri" w:eastAsia="宋体" w:cs="Times New Roman"/>
      <w:kern w:val="2"/>
      <w:sz w:val="21"/>
      <w:szCs w:val="24"/>
    </w:rPr>
  </w:style>
  <w:style w:type="character" w:customStyle="1" w:styleId="1535">
    <w:name w:val="正文文本 3 字符2"/>
    <w:qFormat/>
    <w:uiPriority w:val="0"/>
    <w:rPr>
      <w:rFonts w:ascii="Calibri" w:hAnsi="Calibri" w:eastAsia="宋体" w:cs="Times New Roman"/>
      <w:kern w:val="2"/>
      <w:sz w:val="16"/>
      <w:szCs w:val="16"/>
    </w:rPr>
  </w:style>
  <w:style w:type="character" w:customStyle="1" w:styleId="1536">
    <w:name w:val="尾注文本 字符2"/>
    <w:qFormat/>
    <w:uiPriority w:val="0"/>
    <w:rPr>
      <w:rFonts w:ascii="Calibri" w:hAnsi="Calibri" w:eastAsia="宋体" w:cs="Times New Roman"/>
      <w:kern w:val="2"/>
      <w:sz w:val="21"/>
      <w:szCs w:val="24"/>
    </w:rPr>
  </w:style>
  <w:style w:type="character" w:customStyle="1" w:styleId="1537">
    <w:name w:val="强制内容 Char Char"/>
    <w:qFormat/>
    <w:uiPriority w:val="0"/>
    <w:rPr>
      <w:rFonts w:ascii="宋体" w:hAnsi="宋体" w:eastAsia="黑体" w:cs="Times New Roman"/>
      <w:sz w:val="24"/>
    </w:rPr>
  </w:style>
  <w:style w:type="character" w:customStyle="1" w:styleId="1538">
    <w:name w:val="副标题 字符2"/>
    <w:qFormat/>
    <w:uiPriority w:val="0"/>
    <w:rPr>
      <w:rFonts w:ascii="Arial" w:hAnsi="Arial" w:eastAsia="宋体" w:cs="Arial"/>
      <w:b/>
      <w:bCs/>
      <w:kern w:val="28"/>
      <w:sz w:val="32"/>
      <w:szCs w:val="32"/>
    </w:rPr>
  </w:style>
  <w:style w:type="character" w:customStyle="1" w:styleId="1539">
    <w:name w:val="信息标题 字符2"/>
    <w:qFormat/>
    <w:uiPriority w:val="0"/>
    <w:rPr>
      <w:rFonts w:ascii="Arial" w:hAnsi="Arial" w:eastAsia="宋体" w:cs="Arial"/>
      <w:kern w:val="2"/>
      <w:sz w:val="24"/>
      <w:szCs w:val="24"/>
      <w:shd w:val="pct20" w:color="auto" w:fill="auto"/>
    </w:rPr>
  </w:style>
  <w:style w:type="paragraph" w:customStyle="1" w:styleId="1540">
    <w:name w:val="Char2 Char Char Char Char Char1 Char3"/>
    <w:basedOn w:val="1"/>
    <w:qFormat/>
    <w:uiPriority w:val="0"/>
    <w:pPr>
      <w:tabs>
        <w:tab w:val="left" w:pos="900"/>
      </w:tabs>
      <w:spacing w:line="240" w:lineRule="auto"/>
      <w:ind w:left="900" w:hanging="420"/>
    </w:pPr>
    <w:rPr>
      <w:rFonts w:ascii="Calibri" w:hAnsi="Calibri"/>
      <w:sz w:val="24"/>
    </w:rPr>
  </w:style>
  <w:style w:type="paragraph" w:customStyle="1" w:styleId="1541">
    <w:name w:val="Char Char Char5"/>
    <w:basedOn w:val="1"/>
    <w:qFormat/>
    <w:uiPriority w:val="0"/>
    <w:pPr>
      <w:widowControl/>
      <w:spacing w:after="160" w:line="240" w:lineRule="exact"/>
      <w:jc w:val="left"/>
    </w:pPr>
    <w:rPr>
      <w:rFonts w:ascii="Verdana" w:hAnsi="Verdana"/>
      <w:kern w:val="0"/>
      <w:sz w:val="24"/>
      <w:szCs w:val="20"/>
      <w:lang w:eastAsia="en-US"/>
    </w:rPr>
  </w:style>
  <w:style w:type="paragraph" w:customStyle="1" w:styleId="1542">
    <w:name w:val="Char Char Char Char Char Char Char Char Char Char Char Char Char Char Char Char Char Char Char Char Char1 Char3"/>
    <w:basedOn w:val="1"/>
    <w:qFormat/>
    <w:uiPriority w:val="0"/>
    <w:pPr>
      <w:widowControl/>
      <w:spacing w:after="160" w:line="240" w:lineRule="exact"/>
      <w:jc w:val="left"/>
    </w:pPr>
    <w:rPr>
      <w:rFonts w:ascii="Verdana" w:hAnsi="Verdana"/>
      <w:kern w:val="0"/>
      <w:sz w:val="24"/>
      <w:szCs w:val="20"/>
      <w:lang w:eastAsia="en-US"/>
    </w:rPr>
  </w:style>
  <w:style w:type="paragraph" w:customStyle="1" w:styleId="1543">
    <w:name w:val="Char Char Char Char Char Char3"/>
    <w:basedOn w:val="1"/>
    <w:qFormat/>
    <w:uiPriority w:val="0"/>
    <w:pPr>
      <w:widowControl/>
      <w:spacing w:after="160" w:line="240" w:lineRule="exact"/>
      <w:jc w:val="left"/>
    </w:pPr>
    <w:rPr>
      <w:rFonts w:ascii="Verdana" w:hAnsi="Verdana"/>
      <w:kern w:val="0"/>
      <w:sz w:val="24"/>
      <w:szCs w:val="20"/>
      <w:lang w:eastAsia="en-US"/>
    </w:rPr>
  </w:style>
  <w:style w:type="paragraph" w:customStyle="1" w:styleId="1544">
    <w:name w:val="Char Char Char Char Char Char Char Char Char Char Char Char3"/>
    <w:basedOn w:val="1"/>
    <w:qFormat/>
    <w:uiPriority w:val="0"/>
    <w:pPr>
      <w:spacing w:line="240" w:lineRule="auto"/>
    </w:pPr>
    <w:rPr>
      <w:rFonts w:ascii="Tahoma" w:hAnsi="Tahoma"/>
      <w:sz w:val="24"/>
      <w:szCs w:val="20"/>
    </w:rPr>
  </w:style>
  <w:style w:type="paragraph" w:customStyle="1" w:styleId="1545">
    <w:name w:val="Char Char Char Char Char Char Char Char Char Char Char Char Char Char Char3"/>
    <w:basedOn w:val="1"/>
    <w:qFormat/>
    <w:uiPriority w:val="0"/>
    <w:pPr>
      <w:spacing w:line="240" w:lineRule="auto"/>
    </w:pPr>
    <w:rPr>
      <w:rFonts w:ascii="Tahoma" w:hAnsi="Tahoma"/>
      <w:sz w:val="24"/>
      <w:szCs w:val="20"/>
    </w:rPr>
  </w:style>
  <w:style w:type="paragraph" w:customStyle="1" w:styleId="1546">
    <w:name w:val="Char Char Char Char Char Char1 Char3"/>
    <w:basedOn w:val="1"/>
    <w:qFormat/>
    <w:uiPriority w:val="0"/>
    <w:pPr>
      <w:widowControl/>
      <w:spacing w:after="160" w:line="240" w:lineRule="exact"/>
      <w:jc w:val="left"/>
    </w:pPr>
    <w:rPr>
      <w:rFonts w:ascii="Verdana" w:hAnsi="Verdana"/>
      <w:kern w:val="0"/>
      <w:sz w:val="24"/>
      <w:szCs w:val="20"/>
      <w:lang w:eastAsia="en-US"/>
    </w:rPr>
  </w:style>
  <w:style w:type="paragraph" w:customStyle="1" w:styleId="1547">
    <w:name w:val="Char Char Char Char Char Char Char Char Char Char Char Char Char Char Char Char Char Char3"/>
    <w:basedOn w:val="1"/>
    <w:qFormat/>
    <w:uiPriority w:val="0"/>
    <w:pPr>
      <w:spacing w:line="240" w:lineRule="auto"/>
    </w:pPr>
    <w:rPr>
      <w:rFonts w:ascii="Tahoma" w:hAnsi="Tahoma"/>
      <w:sz w:val="24"/>
      <w:szCs w:val="20"/>
    </w:rPr>
  </w:style>
  <w:style w:type="paragraph" w:customStyle="1" w:styleId="1548">
    <w:name w:val="Char16"/>
    <w:basedOn w:val="1"/>
    <w:qFormat/>
    <w:uiPriority w:val="0"/>
    <w:pPr>
      <w:spacing w:line="240" w:lineRule="auto"/>
    </w:pPr>
    <w:rPr>
      <w:rFonts w:ascii="Tahoma" w:hAnsi="Tahoma"/>
      <w:sz w:val="24"/>
      <w:szCs w:val="20"/>
    </w:rPr>
  </w:style>
  <w:style w:type="paragraph" w:customStyle="1" w:styleId="1549">
    <w:name w:val="纯文本4"/>
    <w:basedOn w:val="1"/>
    <w:qFormat/>
    <w:uiPriority w:val="0"/>
    <w:pPr>
      <w:adjustRightInd w:val="0"/>
      <w:spacing w:line="240" w:lineRule="auto"/>
      <w:textAlignment w:val="baseline"/>
    </w:pPr>
    <w:rPr>
      <w:rFonts w:ascii="宋体" w:hAnsi="Calibri"/>
      <w:kern w:val="0"/>
      <w:szCs w:val="20"/>
    </w:rPr>
  </w:style>
  <w:style w:type="paragraph" w:customStyle="1" w:styleId="1550">
    <w:name w:val="Char Char Char Char Char Char Char Char Char Char Char Char Char Char Char Char Char Char Char Char Char Char Char Char Char Char Char Char Char Char4"/>
    <w:basedOn w:val="1"/>
    <w:qFormat/>
    <w:uiPriority w:val="0"/>
    <w:pPr>
      <w:spacing w:line="240" w:lineRule="auto"/>
    </w:pPr>
    <w:rPr>
      <w:rFonts w:ascii="Calibri" w:hAnsi="Calibri"/>
      <w:kern w:val="28"/>
      <w:sz w:val="24"/>
      <w:szCs w:val="20"/>
    </w:rPr>
  </w:style>
  <w:style w:type="paragraph" w:customStyle="1" w:styleId="1551">
    <w:name w:val="Char Char Char13"/>
    <w:basedOn w:val="1"/>
    <w:qFormat/>
    <w:uiPriority w:val="0"/>
    <w:pPr>
      <w:spacing w:line="240" w:lineRule="auto"/>
    </w:pPr>
    <w:rPr>
      <w:rFonts w:ascii="Tahoma" w:hAnsi="Tahoma"/>
      <w:sz w:val="24"/>
      <w:szCs w:val="20"/>
    </w:rPr>
  </w:style>
  <w:style w:type="paragraph" w:customStyle="1" w:styleId="1552">
    <w:name w:val="Char33"/>
    <w:basedOn w:val="1"/>
    <w:qFormat/>
    <w:uiPriority w:val="0"/>
    <w:pPr>
      <w:spacing w:line="240" w:lineRule="auto"/>
    </w:pPr>
    <w:rPr>
      <w:rFonts w:ascii="Tahoma" w:hAnsi="Tahoma"/>
      <w:sz w:val="24"/>
      <w:szCs w:val="20"/>
    </w:rPr>
  </w:style>
  <w:style w:type="paragraph" w:customStyle="1" w:styleId="1553">
    <w:name w:val="Char Char Char Char Char Char Char Char Char Char Char Char1 Char4"/>
    <w:basedOn w:val="1"/>
    <w:qFormat/>
    <w:uiPriority w:val="0"/>
    <w:pPr>
      <w:widowControl/>
      <w:spacing w:after="160" w:line="240" w:lineRule="exact"/>
      <w:jc w:val="left"/>
    </w:pPr>
    <w:rPr>
      <w:rFonts w:ascii="Verdana" w:hAnsi="Verdana"/>
      <w:kern w:val="0"/>
      <w:sz w:val="24"/>
      <w:szCs w:val="20"/>
      <w:lang w:eastAsia="en-US"/>
    </w:rPr>
  </w:style>
  <w:style w:type="paragraph" w:customStyle="1" w:styleId="1554">
    <w:name w:val="Char Char Char Char Char Char Char Char Char Char Char Char Char Char Char Char Char Char Char Char Char3"/>
    <w:basedOn w:val="1"/>
    <w:qFormat/>
    <w:uiPriority w:val="0"/>
    <w:pPr>
      <w:spacing w:line="240" w:lineRule="auto"/>
    </w:pPr>
    <w:rPr>
      <w:rFonts w:ascii="Tahoma" w:hAnsi="Tahoma"/>
      <w:sz w:val="24"/>
      <w:szCs w:val="20"/>
    </w:rPr>
  </w:style>
  <w:style w:type="paragraph" w:customStyle="1" w:styleId="1555">
    <w:name w:val="Char1 Char Char Char3"/>
    <w:basedOn w:val="1"/>
    <w:qFormat/>
    <w:uiPriority w:val="0"/>
    <w:pPr>
      <w:tabs>
        <w:tab w:val="left" w:pos="720"/>
      </w:tabs>
      <w:spacing w:line="240" w:lineRule="auto"/>
      <w:ind w:left="720" w:hanging="720"/>
    </w:pPr>
    <w:rPr>
      <w:rFonts w:ascii="Calibri" w:hAnsi="Calibri"/>
      <w:sz w:val="24"/>
    </w:rPr>
  </w:style>
  <w:style w:type="paragraph" w:customStyle="1" w:styleId="1556">
    <w:name w:val="Char Char Char Char Char Char Char Char Char Char Char Char1 Char Char Char Char3"/>
    <w:basedOn w:val="1"/>
    <w:qFormat/>
    <w:uiPriority w:val="0"/>
    <w:pPr>
      <w:widowControl/>
      <w:spacing w:after="160" w:line="240" w:lineRule="exact"/>
      <w:jc w:val="left"/>
    </w:pPr>
    <w:rPr>
      <w:rFonts w:ascii="Verdana" w:hAnsi="Verdana"/>
      <w:kern w:val="0"/>
      <w:sz w:val="24"/>
      <w:szCs w:val="20"/>
      <w:lang w:eastAsia="en-US"/>
    </w:rPr>
  </w:style>
  <w:style w:type="paragraph" w:customStyle="1" w:styleId="1557">
    <w:name w:val="Char Char Char Char Char Char Char Char Char Char Char Char Char Char Char Char Char Char Char Char Char1 Char Char Char Char Char Char Char Char Char3"/>
    <w:basedOn w:val="1"/>
    <w:qFormat/>
    <w:uiPriority w:val="0"/>
    <w:pPr>
      <w:widowControl/>
      <w:spacing w:after="160" w:line="240" w:lineRule="exact"/>
      <w:jc w:val="left"/>
    </w:pPr>
    <w:rPr>
      <w:rFonts w:ascii="Verdana" w:hAnsi="Verdana"/>
      <w:kern w:val="0"/>
      <w:sz w:val="24"/>
      <w:szCs w:val="20"/>
      <w:lang w:eastAsia="en-US"/>
    </w:rPr>
  </w:style>
  <w:style w:type="paragraph" w:customStyle="1" w:styleId="1558">
    <w:name w:val="Char Char Char Char Char Char Char Char Char Char Char Char Char Char Char Char Char Char Char Char Char1 Char Char Char Char Char Char Char Char Char Char Char Char3"/>
    <w:basedOn w:val="1"/>
    <w:qFormat/>
    <w:uiPriority w:val="0"/>
    <w:pPr>
      <w:widowControl/>
      <w:spacing w:after="160" w:line="240" w:lineRule="exact"/>
      <w:jc w:val="left"/>
    </w:pPr>
    <w:rPr>
      <w:rFonts w:ascii="Verdana" w:hAnsi="Verdana"/>
      <w:kern w:val="0"/>
      <w:sz w:val="24"/>
      <w:szCs w:val="20"/>
      <w:lang w:eastAsia="en-US"/>
    </w:rPr>
  </w:style>
  <w:style w:type="character" w:customStyle="1" w:styleId="1559">
    <w:name w:val="书籍标题31"/>
    <w:qFormat/>
    <w:uiPriority w:val="33"/>
    <w:rPr>
      <w:b/>
      <w:bCs/>
      <w:smallCaps/>
      <w:spacing w:val="5"/>
    </w:rPr>
  </w:style>
  <w:style w:type="paragraph" w:customStyle="1" w:styleId="1560">
    <w:name w:val="z-窗体底端31"/>
    <w:basedOn w:val="1"/>
    <w:next w:val="1"/>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paragraph" w:customStyle="1" w:styleId="1561">
    <w:name w:val="TOC 标题3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1562">
    <w:name w:val="xl839"/>
    <w:basedOn w:val="1"/>
    <w:qFormat/>
    <w:uiPriority w:val="0"/>
    <w:pPr>
      <w:widowControl/>
      <w:spacing w:before="100" w:beforeAutospacing="1" w:after="100" w:afterAutospacing="1" w:line="240" w:lineRule="auto"/>
      <w:jc w:val="center"/>
      <w:textAlignment w:val="center"/>
    </w:pPr>
    <w:rPr>
      <w:kern w:val="0"/>
      <w:sz w:val="22"/>
      <w:szCs w:val="22"/>
    </w:rPr>
  </w:style>
  <w:style w:type="paragraph" w:customStyle="1" w:styleId="1563">
    <w:name w:val="xl8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1564">
    <w:name w:val="xl8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color w:val="000000"/>
      <w:kern w:val="0"/>
      <w:sz w:val="18"/>
      <w:szCs w:val="18"/>
    </w:rPr>
  </w:style>
  <w:style w:type="paragraph" w:customStyle="1" w:styleId="1565">
    <w:name w:val="_Style 35"/>
    <w:basedOn w:val="1"/>
    <w:qFormat/>
    <w:uiPriority w:val="0"/>
    <w:pPr>
      <w:spacing w:line="240" w:lineRule="auto"/>
    </w:pPr>
  </w:style>
  <w:style w:type="character" w:customStyle="1" w:styleId="1566">
    <w:name w:val="poi-name"/>
    <w:basedOn w:val="96"/>
    <w:qFormat/>
    <w:uiPriority w:val="0"/>
  </w:style>
  <w:style w:type="character" w:customStyle="1" w:styleId="1567">
    <w:name w:val="msoplaceholdertext"/>
    <w:basedOn w:val="96"/>
    <w:qFormat/>
    <w:uiPriority w:val="0"/>
    <w:rPr>
      <w:color w:val="808080"/>
    </w:rPr>
  </w:style>
  <w:style w:type="character" w:customStyle="1" w:styleId="1568">
    <w:name w:val="msobooktitle"/>
    <w:basedOn w:val="96"/>
    <w:qFormat/>
    <w:uiPriority w:val="0"/>
    <w:rPr>
      <w:b/>
      <w:smallCaps/>
      <w:spacing w:val="5"/>
    </w:rPr>
  </w:style>
  <w:style w:type="character" w:customStyle="1" w:styleId="1569">
    <w:name w:val="占位符文本111"/>
    <w:basedOn w:val="96"/>
    <w:qFormat/>
    <w:uiPriority w:val="0"/>
    <w:rPr>
      <w:color w:val="808080"/>
    </w:rPr>
  </w:style>
  <w:style w:type="character" w:customStyle="1" w:styleId="1570">
    <w:name w:val="书籍标题11"/>
    <w:basedOn w:val="96"/>
    <w:qFormat/>
    <w:uiPriority w:val="0"/>
    <w:rPr>
      <w:b/>
      <w:smallCaps/>
      <w:spacing w:val="5"/>
    </w:rPr>
  </w:style>
  <w:style w:type="paragraph" w:customStyle="1" w:styleId="1571">
    <w:name w:val="封面标准号2"/>
    <w:qFormat/>
    <w:uiPriority w:val="0"/>
    <w:pPr>
      <w:spacing w:before="357" w:line="280" w:lineRule="exact"/>
      <w:jc w:val="right"/>
    </w:pPr>
    <w:rPr>
      <w:rFonts w:ascii="黑体" w:hAnsi="Times New Roman" w:eastAsia="黑体" w:cs="Times New Roman"/>
      <w:sz w:val="28"/>
      <w:szCs w:val="28"/>
      <w:lang w:val="en-US" w:eastAsia="zh-CN" w:bidi="ar-SA"/>
    </w:rPr>
  </w:style>
  <w:style w:type="paragraph" w:customStyle="1" w:styleId="1572">
    <w:name w:val="模板正文"/>
    <w:basedOn w:val="1"/>
    <w:qFormat/>
    <w:uiPriority w:val="0"/>
    <w:pPr>
      <w:wordWrap w:val="0"/>
      <w:spacing w:line="360" w:lineRule="auto"/>
      <w:ind w:firstLine="200" w:firstLineChars="200"/>
    </w:pPr>
    <w:rPr>
      <w:rFonts w:ascii="Calibri" w:hAnsi="Calibri" w:eastAsia="仿宋_GB2312"/>
      <w:sz w:val="28"/>
      <w:szCs w:val="21"/>
    </w:rPr>
  </w:style>
  <w:style w:type="paragraph" w:customStyle="1" w:styleId="1573">
    <w:name w:val="附录标识"/>
    <w:basedOn w:val="1"/>
    <w:next w:val="231"/>
    <w:qFormat/>
    <w:uiPriority w:val="0"/>
    <w:pPr>
      <w:keepNext/>
      <w:widowControl/>
      <w:shd w:val="clear" w:color="FFFFFF" w:fill="FFFFFF"/>
      <w:tabs>
        <w:tab w:val="left" w:pos="360"/>
        <w:tab w:val="left" w:pos="6405"/>
      </w:tabs>
      <w:spacing w:before="640" w:after="280" w:line="240" w:lineRule="auto"/>
      <w:jc w:val="center"/>
      <w:outlineLvl w:val="0"/>
    </w:pPr>
    <w:rPr>
      <w:rFonts w:ascii="黑体" w:hAnsi="Calibri" w:eastAsia="黑体"/>
      <w:kern w:val="0"/>
      <w:sz w:val="20"/>
    </w:rPr>
  </w:style>
  <w:style w:type="paragraph" w:customStyle="1" w:styleId="1574">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575">
    <w:name w:val="Char Char14"/>
    <w:basedOn w:val="1"/>
    <w:qFormat/>
    <w:uiPriority w:val="0"/>
    <w:pPr>
      <w:spacing w:line="240" w:lineRule="auto"/>
    </w:pPr>
    <w:rPr>
      <w:rFonts w:ascii="宋体" w:hAnsi="宋体" w:cs="Courier New"/>
      <w:szCs w:val="32"/>
    </w:rPr>
  </w:style>
  <w:style w:type="table" w:customStyle="1" w:styleId="1576">
    <w:name w:val="网格表 4 - 着色 21"/>
    <w:basedOn w:val="88"/>
    <w:qFormat/>
    <w:uiPriority w:val="49"/>
    <w:rPr>
      <w:rFonts w:ascii="等线" w:hAnsi="等线" w:eastAsia="等线"/>
      <w:kern w:val="2"/>
      <w:sz w:val="21"/>
      <w:szCs w:val="22"/>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1577">
    <w:name w:val="网格型13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8">
    <w:name w:val="表格主题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9">
    <w:name w:val="典雅型2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580">
    <w:name w:val="列表型 72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581">
    <w:name w:val="流行型2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582">
    <w:name w:val="专业型2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583">
    <w:name w:val="网格型157"/>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4">
    <w:name w:val="表格主题37"/>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5">
    <w:name w:val="典雅型37"/>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586">
    <w:name w:val="列表型 747"/>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587">
    <w:name w:val="流行型47"/>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588">
    <w:name w:val="专业型37"/>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589">
    <w:name w:val="网格型13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0">
    <w:name w:val="表格主题2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1">
    <w:name w:val="典雅型21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592">
    <w:name w:val="列表型 721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593">
    <w:name w:val="流行型21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594">
    <w:name w:val="专业型21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595">
    <w:name w:val="网格型13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6">
    <w:name w:val="表格主题2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7">
    <w:name w:val="典雅型22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598">
    <w:name w:val="列表型 722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599">
    <w:name w:val="流行型22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00">
    <w:name w:val="专业型22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01">
    <w:name w:val="网格型1516"/>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2">
    <w:name w:val="表格主题316"/>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3">
    <w:name w:val="典雅型316"/>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04">
    <w:name w:val="列表型 7416"/>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05">
    <w:name w:val="流行型416"/>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06">
    <w:name w:val="专业型316"/>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07">
    <w:name w:val="网格型131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8">
    <w:name w:val="表格主题21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9">
    <w:name w:val="典雅型2111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10">
    <w:name w:val="列表型 7211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11">
    <w:name w:val="流行型211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12">
    <w:name w:val="专业型2111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13">
    <w:name w:val="网格型13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4">
    <w:name w:val="表格主题2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5">
    <w:name w:val="典雅型2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16">
    <w:name w:val="列表型 72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17">
    <w:name w:val="流行型2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18">
    <w:name w:val="专业型2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19">
    <w:name w:val="网格型158"/>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0">
    <w:name w:val="表格主题38"/>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1">
    <w:name w:val="典雅型38"/>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22">
    <w:name w:val="列表型 748"/>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23">
    <w:name w:val="流行型48"/>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24">
    <w:name w:val="专业型38"/>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25">
    <w:name w:val="网格型13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6">
    <w:name w:val="表格主题2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7">
    <w:name w:val="典雅型21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28">
    <w:name w:val="列表型 721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29">
    <w:name w:val="流行型21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30">
    <w:name w:val="专业型21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31">
    <w:name w:val="网格型13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2">
    <w:name w:val="表格主题2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3">
    <w:name w:val="典雅型22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34">
    <w:name w:val="列表型 722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35">
    <w:name w:val="流行型22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36">
    <w:name w:val="专业型22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37">
    <w:name w:val="网格型1517"/>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8">
    <w:name w:val="表格主题317"/>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9">
    <w:name w:val="典雅型317"/>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40">
    <w:name w:val="列表型 7417"/>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41">
    <w:name w:val="流行型417"/>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42">
    <w:name w:val="专业型317"/>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43">
    <w:name w:val="网格型131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4">
    <w:name w:val="表格主题21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典雅型211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46">
    <w:name w:val="列表型 7211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47">
    <w:name w:val="流行型211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48">
    <w:name w:val="专业型211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49">
    <w:name w:val="网格型13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0">
    <w:name w:val="表格主题2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1">
    <w:name w:val="典雅型2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52">
    <w:name w:val="列表型 72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53">
    <w:name w:val="流行型2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54">
    <w:name w:val="专业型2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55">
    <w:name w:val="网格型159"/>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6">
    <w:name w:val="表格主题39"/>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7">
    <w:name w:val="典雅型39"/>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58">
    <w:name w:val="列表型 749"/>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59">
    <w:name w:val="流行型49"/>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60">
    <w:name w:val="专业型39"/>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61">
    <w:name w:val="网格型13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2">
    <w:name w:val="表格主题2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3">
    <w:name w:val="典雅型21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64">
    <w:name w:val="列表型 721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65">
    <w:name w:val="流行型21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66">
    <w:name w:val="专业型21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67">
    <w:name w:val="Table Normal21"/>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1668">
    <w:name w:val="网格型13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9">
    <w:name w:val="表格主题2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0">
    <w:name w:val="典雅型22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71">
    <w:name w:val="列表型 722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72">
    <w:name w:val="流行型22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73">
    <w:name w:val="专业型22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74">
    <w:name w:val="网格型1518"/>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5">
    <w:name w:val="表格主题318"/>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6">
    <w:name w:val="典雅型318"/>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77">
    <w:name w:val="列表型 7418"/>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78">
    <w:name w:val="流行型418"/>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79">
    <w:name w:val="专业型318"/>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80">
    <w:name w:val="网格型131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1">
    <w:name w:val="表格主题21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2">
    <w:name w:val="典雅型211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83">
    <w:name w:val="列表型 7211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84">
    <w:name w:val="流行型211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85">
    <w:name w:val="专业型211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86">
    <w:name w:val="网格表 4 - 着色 24"/>
    <w:basedOn w:val="88"/>
    <w:qFormat/>
    <w:uiPriority w:val="49"/>
    <w:rPr>
      <w:rFonts w:ascii="等线" w:hAnsi="等线" w:eastAsia="等线"/>
      <w:kern w:val="2"/>
      <w:sz w:val="21"/>
      <w:szCs w:val="22"/>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1687">
    <w:name w:val="网格型13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8">
    <w:name w:val="表格主题2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9">
    <w:name w:val="典雅型2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690">
    <w:name w:val="列表型 72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691">
    <w:name w:val="流行型2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692">
    <w:name w:val="专业型2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693">
    <w:name w:val="网格型1510"/>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4">
    <w:name w:val="表格主题310"/>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5">
    <w:name w:val="典雅型310"/>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696">
    <w:name w:val="列表型 7410"/>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697">
    <w:name w:val="流行型410"/>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698">
    <w:name w:val="专业型310"/>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699">
    <w:name w:val="网格型131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0">
    <w:name w:val="表格主题21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1">
    <w:name w:val="典雅型21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702">
    <w:name w:val="列表型 721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703">
    <w:name w:val="流行型21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704">
    <w:name w:val="专业型21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705">
    <w:name w:val="网格型132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6">
    <w:name w:val="表格主题22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7">
    <w:name w:val="典雅型22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708">
    <w:name w:val="列表型 722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709">
    <w:name w:val="流行型22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710">
    <w:name w:val="专业型22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1711">
    <w:name w:val="网格型1519"/>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2">
    <w:name w:val="表格主题319"/>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3">
    <w:name w:val="典雅型319"/>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714">
    <w:name w:val="列表型 7419"/>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715">
    <w:name w:val="流行型419"/>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716">
    <w:name w:val="专业型319"/>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1717">
    <w:name w:val="网格型131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8">
    <w:name w:val="表格主题21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9">
    <w:name w:val="典雅型211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1720">
    <w:name w:val="列表型 7211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721">
    <w:name w:val="流行型211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722">
    <w:name w:val="专业型211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customStyle="1" w:styleId="1723">
    <w:name w:val="xl140"/>
    <w:basedOn w:val="1"/>
    <w:qFormat/>
    <w:uiPriority w:val="99"/>
    <w:pPr>
      <w:widowControl/>
      <w:spacing w:before="100" w:beforeAutospacing="1" w:after="100" w:afterAutospacing="1" w:line="240" w:lineRule="auto"/>
      <w:jc w:val="left"/>
    </w:pPr>
    <w:rPr>
      <w:kern w:val="0"/>
      <w:sz w:val="22"/>
      <w:szCs w:val="22"/>
    </w:rPr>
  </w:style>
  <w:style w:type="paragraph" w:customStyle="1" w:styleId="1724">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2"/>
      <w:szCs w:val="22"/>
    </w:rPr>
  </w:style>
  <w:style w:type="paragraph" w:customStyle="1" w:styleId="1725">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color w:val="000000"/>
      <w:kern w:val="0"/>
      <w:sz w:val="22"/>
      <w:szCs w:val="22"/>
    </w:rPr>
  </w:style>
  <w:style w:type="paragraph" w:customStyle="1" w:styleId="1726">
    <w:name w:val="xl1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kern w:val="0"/>
      <w:sz w:val="22"/>
      <w:szCs w:val="22"/>
    </w:rPr>
  </w:style>
  <w:style w:type="paragraph" w:customStyle="1" w:styleId="1727">
    <w:name w:val="xl1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sz w:val="22"/>
      <w:szCs w:val="22"/>
    </w:rPr>
  </w:style>
  <w:style w:type="paragraph" w:customStyle="1" w:styleId="1728">
    <w:name w:val="xl145"/>
    <w:basedOn w:val="1"/>
    <w:qFormat/>
    <w:uiPriority w:val="99"/>
    <w:pPr>
      <w:widowControl/>
      <w:spacing w:before="100" w:beforeAutospacing="1" w:after="100" w:afterAutospacing="1" w:line="240" w:lineRule="auto"/>
      <w:jc w:val="left"/>
    </w:pPr>
    <w:rPr>
      <w:kern w:val="0"/>
      <w:sz w:val="22"/>
      <w:szCs w:val="22"/>
    </w:rPr>
  </w:style>
  <w:style w:type="paragraph" w:customStyle="1" w:styleId="1729">
    <w:name w:val="xl146"/>
    <w:basedOn w:val="1"/>
    <w:qFormat/>
    <w:uiPriority w:val="99"/>
    <w:pPr>
      <w:widowControl/>
      <w:shd w:val="clear" w:color="000000" w:fill="FFFF00"/>
      <w:spacing w:before="100" w:beforeAutospacing="1" w:after="100" w:afterAutospacing="1" w:line="240" w:lineRule="auto"/>
      <w:jc w:val="center"/>
    </w:pPr>
    <w:rPr>
      <w:rFonts w:ascii="仿宋_GB2312" w:hAnsi="宋体" w:eastAsia="仿宋_GB2312" w:cs="宋体"/>
      <w:b/>
      <w:bCs/>
      <w:color w:val="FF0000"/>
      <w:kern w:val="0"/>
      <w:sz w:val="22"/>
      <w:szCs w:val="22"/>
    </w:rPr>
  </w:style>
  <w:style w:type="paragraph" w:customStyle="1" w:styleId="1730">
    <w:name w:val="xl147"/>
    <w:basedOn w:val="1"/>
    <w:qFormat/>
    <w:uiPriority w:val="99"/>
    <w:pPr>
      <w:widowControl/>
      <w:spacing w:before="100" w:beforeAutospacing="1" w:after="100" w:afterAutospacing="1" w:line="240" w:lineRule="auto"/>
      <w:jc w:val="left"/>
      <w:textAlignment w:val="bottom"/>
    </w:pPr>
    <w:rPr>
      <w:rFonts w:ascii="宋体" w:hAnsi="宋体" w:cs="宋体"/>
      <w:kern w:val="0"/>
      <w:sz w:val="22"/>
      <w:szCs w:val="22"/>
    </w:rPr>
  </w:style>
  <w:style w:type="paragraph" w:customStyle="1" w:styleId="1731">
    <w:name w:val="xl148"/>
    <w:basedOn w:val="1"/>
    <w:qFormat/>
    <w:uiPriority w:val="99"/>
    <w:pPr>
      <w:widowControl/>
      <w:spacing w:before="100" w:beforeAutospacing="1" w:after="100" w:afterAutospacing="1" w:line="240" w:lineRule="auto"/>
      <w:jc w:val="center"/>
    </w:pPr>
    <w:rPr>
      <w:rFonts w:ascii="宋体" w:hAnsi="宋体" w:cs="宋体"/>
      <w:b/>
      <w:bCs/>
      <w:color w:val="000000"/>
      <w:kern w:val="0"/>
      <w:sz w:val="22"/>
      <w:szCs w:val="22"/>
    </w:rPr>
  </w:style>
  <w:style w:type="paragraph" w:customStyle="1" w:styleId="1732">
    <w:name w:val="xl1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color w:val="000000"/>
      <w:kern w:val="0"/>
      <w:sz w:val="22"/>
      <w:szCs w:val="22"/>
    </w:rPr>
  </w:style>
  <w:style w:type="table" w:customStyle="1" w:styleId="1733">
    <w:name w:val="列表型 34"/>
    <w:basedOn w:val="88"/>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34">
    <w:name w:val="列表型 77"/>
    <w:basedOn w:val="88"/>
    <w:unhideWhenUsed/>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35">
    <w:name w:val="流行型7"/>
    <w:basedOn w:val="88"/>
    <w:unhideWhenUsed/>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36">
    <w:name w:val="典雅型6"/>
    <w:basedOn w:val="88"/>
    <w:unhideWhenUsed/>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737">
    <w:name w:val="专业型6"/>
    <w:basedOn w:val="88"/>
    <w:unhideWhenUsed/>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738">
    <w:name w:val="网格表 4 - 着色 23"/>
    <w:basedOn w:val="88"/>
    <w:qFormat/>
    <w:uiPriority w:val="49"/>
    <w:rPr>
      <w:kern w:val="2"/>
      <w:sz w:val="21"/>
      <w:szCs w:val="22"/>
    </w:rPr>
    <w:tblPr>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14:textFill>
          <w14:solidFill>
            <w14:schemeClr w14:val="bg1"/>
          </w14:solidFill>
        </w14:textFill>
      </w:r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cPr>
        <w:tcBorders>
          <w:top w:val="double" w:color="C0504D" w:themeColor="accent2" w:sz="4" w:space="0"/>
        </w:tcBorders>
      </w:tcPr>
    </w:tblStylePr>
    <w:tblStylePr w:type="firstCol">
      <w:rPr>
        <w:b/>
        <w:bCs/>
      </w:rPr>
    </w:tblStylePr>
    <w:tblStylePr w:type="lastCol">
      <w:rPr>
        <w:b/>
        <w:bCs/>
      </w:rPr>
    </w:tblStylePr>
    <w:tblStylePr w:type="band1Vert">
      <w:tcPr>
        <w:shd w:val="clear" w:color="auto" w:fill="F2DBDB" w:themeFill="accent2" w:themeFillTint="33"/>
      </w:tcPr>
    </w:tblStylePr>
    <w:tblStylePr w:type="band1Horz">
      <w:tcPr>
        <w:shd w:val="clear" w:color="auto" w:fill="F2DBDB" w:themeFill="accent2" w:themeFillTint="33"/>
      </w:tcPr>
    </w:tblStylePr>
  </w:style>
  <w:style w:type="table" w:customStyle="1" w:styleId="1739">
    <w:name w:val="列表型 715"/>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740">
    <w:name w:val="流行型15"/>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741">
    <w:name w:val="专业型15"/>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742">
    <w:name w:val="典雅型15"/>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743">
    <w:name w:val="列表型 31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744">
    <w:name w:val="网格型13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5">
    <w:name w:val="表格主题2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典雅型2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747">
    <w:name w:val="列表型 72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748">
    <w:name w:val="流行型2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749">
    <w:name w:val="专业型2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750">
    <w:name w:val="列表型 73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51">
    <w:name w:val="流行型3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52">
    <w:name w:val="专业型114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753">
    <w:name w:val="典雅型114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754">
    <w:name w:val="网格型1520"/>
    <w:basedOn w:val="88"/>
    <w:qFormat/>
    <w:uiPriority w:val="39"/>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5">
    <w:name w:val="表格主题320"/>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6">
    <w:name w:val="典雅型320"/>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757">
    <w:name w:val="列表型 3MO13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1758">
    <w:name w:val="列表型 7420"/>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759">
    <w:name w:val="流行型420"/>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760">
    <w:name w:val="专业型320"/>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761">
    <w:name w:val="列表型 712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762">
    <w:name w:val="流行型12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763">
    <w:name w:val="专业型12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764">
    <w:name w:val="典雅型12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765">
    <w:name w:val="典雅型216"/>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766">
    <w:name w:val="列表型 3114"/>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67">
    <w:name w:val="列表型 7216"/>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68">
    <w:name w:val="流行型216"/>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69">
    <w:name w:val="专业型216"/>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770">
    <w:name w:val="列表型 71114"/>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71">
    <w:name w:val="列表型 3111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772">
    <w:name w:val="专业型1113"/>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773">
    <w:name w:val="流行型1114"/>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74">
    <w:name w:val="典雅型1113"/>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775">
    <w:name w:val="网格型1311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6">
    <w:name w:val="表格主题211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7">
    <w:name w:val="典雅型2112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778">
    <w:name w:val="列表型 72112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779">
    <w:name w:val="流行型2112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780">
    <w:name w:val="专业型2112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781">
    <w:name w:val="列表型 73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82">
    <w:name w:val="流行型3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83">
    <w:name w:val="列表型 711113"/>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84">
    <w:name w:val="流行型11113"/>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85">
    <w:name w:val="Table Normal3"/>
    <w:semiHidden/>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1786">
    <w:name w:val="典雅型4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787">
    <w:name w:val="列表型 322"/>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88">
    <w:name w:val="列表型 75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789">
    <w:name w:val="流行型5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790">
    <w:name w:val="专业型4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791">
    <w:name w:val="列表型 713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792">
    <w:name w:val="流行型13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793">
    <w:name w:val="专业型13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794">
    <w:name w:val="典雅型13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795">
    <w:name w:val="列表型 312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796">
    <w:name w:val="网格型132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7">
    <w:name w:val="表格主题22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8">
    <w:name w:val="典雅型22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799">
    <w:name w:val="列表型 722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00">
    <w:name w:val="流行型22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01">
    <w:name w:val="专业型22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02">
    <w:name w:val="列表型 732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03">
    <w:name w:val="流行型32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04">
    <w:name w:val="列表型 7112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05">
    <w:name w:val="流行型112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06">
    <w:name w:val="专业型112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807">
    <w:name w:val="典雅型112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808">
    <w:name w:val="网格型15110"/>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9">
    <w:name w:val="表格主题3110"/>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0">
    <w:name w:val="典雅型3110"/>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11">
    <w:name w:val="列表型 3MO112"/>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1812">
    <w:name w:val="列表型 74110"/>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13">
    <w:name w:val="流行型4110"/>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14">
    <w:name w:val="专业型3110"/>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15">
    <w:name w:val="列表型 712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16">
    <w:name w:val="流行型12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17">
    <w:name w:val="专业型12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18">
    <w:name w:val="典雅型12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19">
    <w:name w:val="典雅型212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820">
    <w:name w:val="列表型 31122"/>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21">
    <w:name w:val="列表型 7212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22">
    <w:name w:val="流行型212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23">
    <w:name w:val="专业型212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824">
    <w:name w:val="列表型 71112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25">
    <w:name w:val="列表型 31111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1826">
    <w:name w:val="专业型11112"/>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827">
    <w:name w:val="流行型1112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28">
    <w:name w:val="典雅型11112"/>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829">
    <w:name w:val="网格型1311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0">
    <w:name w:val="表格主题211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1">
    <w:name w:val="典雅型211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32">
    <w:name w:val="列表型 7211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33">
    <w:name w:val="流行型211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34">
    <w:name w:val="专业型211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35">
    <w:name w:val="列表型 731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36">
    <w:name w:val="流行型31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37">
    <w:name w:val="列表型 7111112"/>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838">
    <w:name w:val="流行型111112"/>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839">
    <w:name w:val="典雅型23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40">
    <w:name w:val="列表型 723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41">
    <w:name w:val="流行型23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42">
    <w:name w:val="专业型23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43">
    <w:name w:val="典雅型3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44">
    <w:name w:val="列表型 74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45">
    <w:name w:val="流行型4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46">
    <w:name w:val="专业型3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47">
    <w:name w:val="典雅型2112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48">
    <w:name w:val="列表型 72112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49">
    <w:name w:val="流行型2112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50">
    <w:name w:val="专业型2112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51">
    <w:name w:val="典雅型22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52">
    <w:name w:val="列表型 722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53">
    <w:name w:val="流行型22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54">
    <w:name w:val="专业型22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55">
    <w:name w:val="典雅型3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56">
    <w:name w:val="列表型 74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57">
    <w:name w:val="流行型4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58">
    <w:name w:val="专业型3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59">
    <w:name w:val="典雅型2111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60">
    <w:name w:val="列表型 72111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61">
    <w:name w:val="流行型2111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62">
    <w:name w:val="专业型2111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63">
    <w:name w:val="典雅型24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64">
    <w:name w:val="列表型 72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65">
    <w:name w:val="流行型2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66">
    <w:name w:val="专业型24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67">
    <w:name w:val="典雅型3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68">
    <w:name w:val="列表型 74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69">
    <w:name w:val="流行型4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70">
    <w:name w:val="专业型3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71">
    <w:name w:val="典雅型2113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72">
    <w:name w:val="列表型 72113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73">
    <w:name w:val="流行型2113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74">
    <w:name w:val="专业型2113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75">
    <w:name w:val="典雅型222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76">
    <w:name w:val="列表型 7222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77">
    <w:name w:val="流行型222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78">
    <w:name w:val="专业型222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79">
    <w:name w:val="典雅型31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80">
    <w:name w:val="列表型 74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81">
    <w:name w:val="流行型4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82">
    <w:name w:val="专业型31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83">
    <w:name w:val="典雅型21112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84">
    <w:name w:val="列表型 721112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85">
    <w:name w:val="流行型21112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86">
    <w:name w:val="专业型21112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87">
    <w:name w:val="典雅型25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88">
    <w:name w:val="列表型 725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89">
    <w:name w:val="流行型25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90">
    <w:name w:val="专业型25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91">
    <w:name w:val="典雅型34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892">
    <w:name w:val="列表型 744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893">
    <w:name w:val="流行型44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894">
    <w:name w:val="专业型34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895">
    <w:name w:val="典雅型2114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896">
    <w:name w:val="列表型 7211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897">
    <w:name w:val="流行型211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898">
    <w:name w:val="专业型2114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899">
    <w:name w:val="典雅型223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00">
    <w:name w:val="列表型 7223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01">
    <w:name w:val="流行型223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02">
    <w:name w:val="专业型223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03">
    <w:name w:val="典雅型31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04">
    <w:name w:val="列表型 741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05">
    <w:name w:val="流行型41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06">
    <w:name w:val="专业型31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07">
    <w:name w:val="典雅型21113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08">
    <w:name w:val="列表型 721113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09">
    <w:name w:val="流行型21113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10">
    <w:name w:val="专业型21113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11">
    <w:name w:val="典雅型26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12">
    <w:name w:val="列表型 726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13">
    <w:name w:val="流行型26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14">
    <w:name w:val="专业型26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15">
    <w:name w:val="典雅型35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16">
    <w:name w:val="列表型 745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17">
    <w:name w:val="流行型45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18">
    <w:name w:val="专业型35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19">
    <w:name w:val="典雅型2115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20">
    <w:name w:val="列表型 72115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21">
    <w:name w:val="流行型2115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22">
    <w:name w:val="专业型2115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23">
    <w:name w:val="典雅型224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24">
    <w:name w:val="列表型 722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25">
    <w:name w:val="流行型22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26">
    <w:name w:val="专业型224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27">
    <w:name w:val="典雅型314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28">
    <w:name w:val="列表型 7414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29">
    <w:name w:val="流行型414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30">
    <w:name w:val="专业型314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31">
    <w:name w:val="典雅型21114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32">
    <w:name w:val="列表型 72111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33">
    <w:name w:val="流行型2111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34">
    <w:name w:val="专业型21114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35">
    <w:name w:val="典雅型27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36">
    <w:name w:val="列表型 727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37">
    <w:name w:val="流行型27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38">
    <w:name w:val="专业型27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39">
    <w:name w:val="典雅型36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40">
    <w:name w:val="列表型 746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41">
    <w:name w:val="流行型46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42">
    <w:name w:val="专业型36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43">
    <w:name w:val="典雅型2116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44">
    <w:name w:val="列表型 72116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45">
    <w:name w:val="流行型2116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46">
    <w:name w:val="专业型2116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47">
    <w:name w:val="典雅型225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48">
    <w:name w:val="列表型 7225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49">
    <w:name w:val="流行型225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50">
    <w:name w:val="专业型225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51">
    <w:name w:val="典雅型315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52">
    <w:name w:val="列表型 7415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53">
    <w:name w:val="流行型415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54">
    <w:name w:val="专业型315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55">
    <w:name w:val="典雅型21115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56">
    <w:name w:val="列表型 721115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57">
    <w:name w:val="流行型21115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58">
    <w:name w:val="专业型21115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59">
    <w:name w:val="网格表 4 - 着色 211"/>
    <w:basedOn w:val="88"/>
    <w:qFormat/>
    <w:uiPriority w:val="49"/>
    <w:rPr>
      <w:rFonts w:ascii="等线" w:hAnsi="等线" w:eastAsia="等线"/>
      <w:kern w:val="2"/>
      <w:sz w:val="21"/>
      <w:szCs w:val="22"/>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1960">
    <w:name w:val="典雅型28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61">
    <w:name w:val="列表型 728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62">
    <w:name w:val="流行型28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63">
    <w:name w:val="专业型28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64">
    <w:name w:val="典雅型37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65">
    <w:name w:val="列表型 747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66">
    <w:name w:val="流行型47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67">
    <w:name w:val="专业型37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68">
    <w:name w:val="典雅型2117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69">
    <w:name w:val="列表型 72117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70">
    <w:name w:val="流行型2117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71">
    <w:name w:val="专业型2117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72">
    <w:name w:val="典雅型226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73">
    <w:name w:val="列表型 7226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74">
    <w:name w:val="流行型226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75">
    <w:name w:val="专业型226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76">
    <w:name w:val="典雅型316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77">
    <w:name w:val="列表型 7416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78">
    <w:name w:val="流行型416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79">
    <w:name w:val="专业型316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80">
    <w:name w:val="典雅型21116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81">
    <w:name w:val="列表型 721116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82">
    <w:name w:val="流行型21116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83">
    <w:name w:val="专业型21116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84">
    <w:name w:val="典雅型29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85">
    <w:name w:val="列表型 729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86">
    <w:name w:val="流行型29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87">
    <w:name w:val="专业型29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88">
    <w:name w:val="典雅型38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989">
    <w:name w:val="列表型 748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1990">
    <w:name w:val="流行型48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1991">
    <w:name w:val="专业型38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1992">
    <w:name w:val="典雅型2118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93">
    <w:name w:val="列表型 72118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94">
    <w:name w:val="流行型2118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95">
    <w:name w:val="专业型2118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1996">
    <w:name w:val="典雅型227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1997">
    <w:name w:val="列表型 7227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1998">
    <w:name w:val="流行型227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1999">
    <w:name w:val="专业型227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00">
    <w:name w:val="典雅型317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01">
    <w:name w:val="列表型 7417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02">
    <w:name w:val="流行型417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03">
    <w:name w:val="专业型317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04">
    <w:name w:val="典雅型21117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005">
    <w:name w:val="列表型 721117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006">
    <w:name w:val="流行型21117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007">
    <w:name w:val="专业型21117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08">
    <w:name w:val="典雅型5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09">
    <w:name w:val="列表型 33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010">
    <w:name w:val="列表型 76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11">
    <w:name w:val="流行型6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12">
    <w:name w:val="专业型5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13">
    <w:name w:val="列表型 714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14">
    <w:name w:val="流行型14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15">
    <w:name w:val="专业型14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16">
    <w:name w:val="典雅型14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17">
    <w:name w:val="列表型 313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018">
    <w:name w:val="典雅型210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019">
    <w:name w:val="列表型 7210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020">
    <w:name w:val="流行型210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021">
    <w:name w:val="专业型210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22">
    <w:name w:val="列表型 73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23">
    <w:name w:val="流行型3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24">
    <w:name w:val="列表型 711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25">
    <w:name w:val="流行型11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26">
    <w:name w:val="专业型11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27">
    <w:name w:val="典雅型11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28">
    <w:name w:val="典雅型39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29">
    <w:name w:val="列表型 3MO12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030">
    <w:name w:val="列表型 749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31">
    <w:name w:val="流行型49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32">
    <w:name w:val="专业型39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33">
    <w:name w:val="列表型 712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34">
    <w:name w:val="流行型12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35">
    <w:name w:val="专业型12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36">
    <w:name w:val="典雅型12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37">
    <w:name w:val="典雅型213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38">
    <w:name w:val="列表型 3113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039">
    <w:name w:val="列表型 721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40">
    <w:name w:val="流行型21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41">
    <w:name w:val="专业型213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42">
    <w:name w:val="列表型 71113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43">
    <w:name w:val="列表型 31112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044">
    <w:name w:val="专业型1112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45">
    <w:name w:val="流行型1113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46">
    <w:name w:val="典雅型1112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47">
    <w:name w:val="典雅型2119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048">
    <w:name w:val="列表型 72119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049">
    <w:name w:val="流行型2119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050">
    <w:name w:val="专业型2119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51">
    <w:name w:val="列表型 73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52">
    <w:name w:val="流行型3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53">
    <w:name w:val="列表型 711112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54">
    <w:name w:val="流行型11112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55">
    <w:name w:val="Table Normal211"/>
    <w:semiHidden/>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2056">
    <w:name w:val="典雅型4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57">
    <w:name w:val="列表型 321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058">
    <w:name w:val="列表型 75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59">
    <w:name w:val="流行型5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60">
    <w:name w:val="专业型4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61">
    <w:name w:val="列表型 713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62">
    <w:name w:val="流行型13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63">
    <w:name w:val="专业型13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64">
    <w:name w:val="典雅型13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65">
    <w:name w:val="列表型 312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066">
    <w:name w:val="典雅型228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067">
    <w:name w:val="列表型 7228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068">
    <w:name w:val="流行型228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069">
    <w:name w:val="专业型228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70">
    <w:name w:val="列表型 732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71">
    <w:name w:val="流行型32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72">
    <w:name w:val="列表型 7112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73">
    <w:name w:val="流行型112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74">
    <w:name w:val="专业型112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75">
    <w:name w:val="典雅型112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76">
    <w:name w:val="典雅型318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77">
    <w:name w:val="列表型 3MO111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078">
    <w:name w:val="列表型 7418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79">
    <w:name w:val="流行型418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80">
    <w:name w:val="专业型318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81">
    <w:name w:val="列表型 712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082">
    <w:name w:val="流行型12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083">
    <w:name w:val="专业型12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084">
    <w:name w:val="典雅型12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085">
    <w:name w:val="典雅型212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86">
    <w:name w:val="列表型 311211"/>
    <w:basedOn w:val="88"/>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087">
    <w:name w:val="列表型 7212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88">
    <w:name w:val="流行型212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89">
    <w:name w:val="专业型212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90">
    <w:name w:val="列表型 71112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091">
    <w:name w:val="列表型 31111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092">
    <w:name w:val="专业型11111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093">
    <w:name w:val="流行型1112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094">
    <w:name w:val="典雅型11111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95">
    <w:name w:val="典雅型21118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096">
    <w:name w:val="列表型 721118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097">
    <w:name w:val="流行型21118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098">
    <w:name w:val="专业型21118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099">
    <w:name w:val="列表型 731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100">
    <w:name w:val="流行型31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101">
    <w:name w:val="列表型 7111111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102">
    <w:name w:val="流行型111111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103">
    <w:name w:val="网格表 4 - 着色 241"/>
    <w:basedOn w:val="88"/>
    <w:qFormat/>
    <w:uiPriority w:val="49"/>
    <w:rPr>
      <w:rFonts w:ascii="等线" w:hAnsi="等线" w:eastAsia="等线"/>
      <w:kern w:val="2"/>
      <w:sz w:val="21"/>
      <w:szCs w:val="22"/>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Pr>
    <w:tblStylePr w:type="firstRow">
      <w:rPr>
        <w:b/>
        <w:bCs/>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auto" w:fill="ED7D31"/>
      </w:tcPr>
    </w:tblStylePr>
    <w:tblStylePr w:type="lastRow">
      <w:rPr>
        <w:b/>
        <w:bCs/>
      </w:rPr>
      <w:tcPr>
        <w:tcBorders>
          <w:top w:val="double" w:color="ED7D31" w:sz="4" w:space="0"/>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2104">
    <w:name w:val="典雅型214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105">
    <w:name w:val="列表型 721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106">
    <w:name w:val="流行型21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107">
    <w:name w:val="专业型214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108">
    <w:name w:val="典雅型310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109">
    <w:name w:val="列表型 7410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110">
    <w:name w:val="流行型410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111">
    <w:name w:val="专业型310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112">
    <w:name w:val="典雅型21110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113">
    <w:name w:val="列表型 721110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114">
    <w:name w:val="流行型21110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115">
    <w:name w:val="专业型21110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116">
    <w:name w:val="典雅型229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117">
    <w:name w:val="列表型 7229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118">
    <w:name w:val="流行型229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119">
    <w:name w:val="专业型229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table" w:customStyle="1" w:styleId="2120">
    <w:name w:val="典雅型3191"/>
    <w:basedOn w:val="88"/>
    <w:qFormat/>
    <w:uiPriority w:val="0"/>
    <w:pPr>
      <w:widowControl w:val="0"/>
      <w:spacing w:beforeLines="30" w:afterLines="30" w:line="300" w:lineRule="auto"/>
      <w:ind w:firstLine="48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2121">
    <w:name w:val="列表型 74191"/>
    <w:basedOn w:val="88"/>
    <w:qFormat/>
    <w:uiPriority w:val="0"/>
    <w:pPr>
      <w:widowControl w:val="0"/>
      <w:spacing w:beforeLines="30" w:afterLines="30" w:line="300" w:lineRule="auto"/>
      <w:ind w:firstLine="48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122">
    <w:name w:val="流行型4191"/>
    <w:basedOn w:val="88"/>
    <w:qFormat/>
    <w:uiPriority w:val="0"/>
    <w:pPr>
      <w:widowControl w:val="0"/>
      <w:spacing w:beforeLines="30" w:afterLines="30" w:line="300" w:lineRule="auto"/>
      <w:ind w:firstLine="480" w:firstLineChars="200"/>
      <w:jc w:val="both"/>
    </w:p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123">
    <w:name w:val="专业型3191"/>
    <w:basedOn w:val="88"/>
    <w:qFormat/>
    <w:uiPriority w:val="0"/>
    <w:pPr>
      <w:widowControl w:val="0"/>
      <w:spacing w:beforeLines="30" w:afterLines="30" w:line="300" w:lineRule="auto"/>
      <w:ind w:firstLine="48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tcBorders>
          <w:tl2br w:val="nil"/>
          <w:tr2bl w:val="nil"/>
        </w:tcBorders>
        <w:shd w:val="solid" w:color="000000" w:fill="FFFFFF"/>
      </w:tcPr>
    </w:tblStylePr>
  </w:style>
  <w:style w:type="table" w:customStyle="1" w:styleId="2124">
    <w:name w:val="典雅型21119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StylePr>
  </w:style>
  <w:style w:type="table" w:customStyle="1" w:styleId="2125">
    <w:name w:val="列表型 721119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126">
    <w:name w:val="流行型21119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127">
    <w:name w:val="专业型21119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cPr>
        <w:shd w:val="solid" w:color="000000" w:fill="FFFFFF"/>
      </w:tcPr>
    </w:tblStylePr>
  </w:style>
  <w:style w:type="paragraph" w:customStyle="1" w:styleId="2128">
    <w:name w:val="修订10"/>
    <w:hidden/>
    <w:qFormat/>
    <w:uiPriority w:val="99"/>
    <w:rPr>
      <w:rFonts w:ascii="Times New Roman" w:hAnsi="Times New Roman" w:eastAsia="宋体" w:cs="Times New Roman"/>
      <w:kern w:val="2"/>
      <w:sz w:val="21"/>
      <w:szCs w:val="24"/>
      <w:lang w:val="en-US" w:eastAsia="zh-CN" w:bidi="ar-SA"/>
    </w:rPr>
  </w:style>
  <w:style w:type="table" w:customStyle="1" w:styleId="2129">
    <w:name w:val="网格表 4 - 着色 231"/>
    <w:basedOn w:val="88"/>
    <w:qFormat/>
    <w:uiPriority w:val="49"/>
    <w:rPr>
      <w:kern w:val="2"/>
      <w:sz w:val="21"/>
      <w:szCs w:val="22"/>
    </w:rPr>
    <w:tblPr>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14:textFill>
          <w14:solidFill>
            <w14:schemeClr w14:val="bg1"/>
          </w14:solidFill>
        </w14:textFill>
      </w:r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cPr>
        <w:tcBorders>
          <w:top w:val="double" w:color="C0504D" w:themeColor="accent2" w:sz="4" w:space="0"/>
        </w:tcBorders>
      </w:tcPr>
    </w:tblStylePr>
    <w:tblStylePr w:type="firstCol">
      <w:rPr>
        <w:b/>
        <w:bCs/>
      </w:rPr>
    </w:tblStylePr>
    <w:tblStylePr w:type="lastCol">
      <w:rPr>
        <w:b/>
        <w:bCs/>
      </w:rPr>
    </w:tblStylePr>
    <w:tblStylePr w:type="band1Vert">
      <w:tcPr>
        <w:shd w:val="clear" w:color="auto" w:fill="F2DBDB" w:themeFill="accent2" w:themeFillTint="33"/>
      </w:tcPr>
    </w:tblStylePr>
    <w:tblStylePr w:type="band1Horz">
      <w:tcPr>
        <w:shd w:val="clear" w:color="auto" w:fill="F2DBDB" w:themeFill="accent2" w:themeFillTint="33"/>
      </w:tcPr>
    </w:tblStylePr>
  </w:style>
  <w:style w:type="character" w:customStyle="1" w:styleId="2130">
    <w:name w:val="图标题 Char"/>
    <w:basedOn w:val="96"/>
    <w:link w:val="272"/>
    <w:qFormat/>
    <w:uiPriority w:val="0"/>
    <w:rPr>
      <w:rFonts w:ascii="Times New Roman" w:hAnsi="Times New Roman" w:eastAsia="仿宋_GB2312"/>
      <w:b/>
      <w:kern w:val="28"/>
      <w:sz w:val="24"/>
      <w:szCs w:val="24"/>
    </w:rPr>
  </w:style>
  <w:style w:type="table" w:customStyle="1" w:styleId="2131">
    <w:name w:val="表格主题14"/>
    <w:basedOn w:val="88"/>
    <w:qFormat/>
    <w:uiPriority w:val="0"/>
    <w:pPr>
      <w:widowControl w:val="0"/>
      <w:spacing w:beforeLines="30" w:afterLines="30" w:line="300" w:lineRule="auto"/>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32">
    <w:name w:val="备注"/>
    <w:basedOn w:val="271"/>
    <w:link w:val="2133"/>
    <w:qFormat/>
    <w:uiPriority w:val="0"/>
    <w:pPr>
      <w:keepNext w:val="0"/>
      <w:adjustRightInd/>
      <w:snapToGrid/>
      <w:spacing w:line="240" w:lineRule="auto"/>
      <w:jc w:val="left"/>
    </w:pPr>
    <w:rPr>
      <w:rFonts w:ascii="Times New Roman" w:hAnsi="Times New Roman"/>
      <w:b w:val="0"/>
      <w:color w:val="0000FF"/>
      <w:shd w:val="clear" w:color="auto" w:fill="FFFFFF"/>
    </w:rPr>
  </w:style>
  <w:style w:type="character" w:customStyle="1" w:styleId="2133">
    <w:name w:val="备注 Char"/>
    <w:basedOn w:val="96"/>
    <w:link w:val="2132"/>
    <w:qFormat/>
    <w:uiPriority w:val="0"/>
    <w:rPr>
      <w:rFonts w:ascii="Times New Roman" w:hAnsi="Times New Roman" w:eastAsia="仿宋_GB2312"/>
      <w:color w:val="0000FF"/>
      <w:kern w:val="2"/>
      <w:sz w:val="24"/>
      <w:szCs w:val="24"/>
    </w:rPr>
  </w:style>
  <w:style w:type="paragraph" w:customStyle="1" w:styleId="2134">
    <w:name w:val="xl8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4"/>
    </w:rPr>
  </w:style>
  <w:style w:type="paragraph" w:customStyle="1" w:styleId="2135">
    <w:name w:val="xl8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kern w:val="0"/>
      <w:sz w:val="24"/>
    </w:rPr>
  </w:style>
  <w:style w:type="paragraph" w:customStyle="1" w:styleId="2136">
    <w:name w:val="xl8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b/>
      <w:bCs/>
      <w:kern w:val="0"/>
      <w:sz w:val="22"/>
      <w:szCs w:val="22"/>
    </w:rPr>
  </w:style>
  <w:style w:type="paragraph" w:customStyle="1" w:styleId="2137">
    <w:name w:val="xl8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b/>
      <w:bCs/>
      <w:kern w:val="0"/>
      <w:sz w:val="22"/>
      <w:szCs w:val="22"/>
    </w:rPr>
  </w:style>
  <w:style w:type="paragraph" w:customStyle="1" w:styleId="2138">
    <w:name w:val="xl8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kern w:val="0"/>
      <w:sz w:val="24"/>
    </w:rPr>
  </w:style>
  <w:style w:type="paragraph" w:customStyle="1" w:styleId="2139">
    <w:name w:val="xl8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_GB2312" w:hAnsi="宋体" w:eastAsia="仿宋_GB2312" w:cs="宋体"/>
      <w:b/>
      <w:bCs/>
      <w:kern w:val="0"/>
      <w:sz w:val="22"/>
      <w:szCs w:val="22"/>
    </w:rPr>
  </w:style>
  <w:style w:type="paragraph" w:customStyle="1" w:styleId="2140">
    <w:name w:val="xl84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center"/>
      <w:textAlignment w:val="center"/>
    </w:pPr>
    <w:rPr>
      <w:rFonts w:ascii="仿宋_GB2312" w:hAnsi="宋体" w:eastAsia="仿宋_GB2312" w:cs="宋体"/>
      <w:b/>
      <w:bCs/>
      <w:kern w:val="0"/>
      <w:sz w:val="22"/>
      <w:szCs w:val="22"/>
    </w:rPr>
  </w:style>
  <w:style w:type="paragraph" w:customStyle="1" w:styleId="2141">
    <w:name w:val="xl8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color w:val="000000"/>
      <w:kern w:val="0"/>
      <w:sz w:val="22"/>
      <w:szCs w:val="22"/>
    </w:rPr>
  </w:style>
  <w:style w:type="paragraph" w:customStyle="1" w:styleId="2142">
    <w:name w:val="xl8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cs="宋体"/>
      <w:color w:val="000000"/>
      <w:kern w:val="0"/>
      <w:sz w:val="22"/>
      <w:szCs w:val="22"/>
    </w:rPr>
  </w:style>
  <w:style w:type="paragraph" w:customStyle="1" w:styleId="2143">
    <w:name w:val="xl851"/>
    <w:basedOn w:val="1"/>
    <w:qFormat/>
    <w:uiPriority w:val="0"/>
    <w:pPr>
      <w:widowControl/>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line="240" w:lineRule="auto"/>
      <w:jc w:val="center"/>
      <w:textAlignment w:val="center"/>
    </w:pPr>
    <w:rPr>
      <w:rFonts w:ascii="宋体" w:hAnsi="宋体" w:cs="宋体"/>
      <w:color w:val="000000"/>
      <w:kern w:val="0"/>
      <w:sz w:val="22"/>
      <w:szCs w:val="22"/>
    </w:rPr>
  </w:style>
  <w:style w:type="paragraph" w:customStyle="1" w:styleId="2144">
    <w:name w:val="xl852"/>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line="240" w:lineRule="auto"/>
      <w:jc w:val="center"/>
      <w:textAlignment w:val="center"/>
    </w:pPr>
    <w:rPr>
      <w:rFonts w:ascii="宋体" w:hAnsi="宋体" w:cs="宋体"/>
      <w:color w:val="000000"/>
      <w:kern w:val="0"/>
      <w:sz w:val="22"/>
      <w:szCs w:val="22"/>
    </w:rPr>
  </w:style>
  <w:style w:type="paragraph" w:customStyle="1" w:styleId="2145">
    <w:name w:val="xl8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kern w:val="0"/>
      <w:sz w:val="24"/>
    </w:rPr>
  </w:style>
  <w:style w:type="paragraph" w:customStyle="1" w:styleId="2146">
    <w:name w:val="xl85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2147">
    <w:name w:val="xl85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center"/>
      <w:textAlignment w:val="center"/>
    </w:pPr>
    <w:rPr>
      <w:rFonts w:ascii="宋体" w:hAnsi="宋体" w:cs="宋体"/>
      <w:b/>
      <w:bCs/>
      <w:color w:val="000000"/>
      <w:kern w:val="0"/>
      <w:sz w:val="22"/>
      <w:szCs w:val="22"/>
    </w:rPr>
  </w:style>
  <w:style w:type="paragraph" w:customStyle="1" w:styleId="2148">
    <w:name w:val="xl85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line="240" w:lineRule="auto"/>
      <w:jc w:val="left"/>
    </w:pPr>
    <w:rPr>
      <w:rFonts w:ascii="宋体" w:hAnsi="宋体" w:cs="宋体"/>
      <w:kern w:val="0"/>
      <w:sz w:val="24"/>
    </w:rPr>
  </w:style>
  <w:style w:type="paragraph" w:customStyle="1" w:styleId="2149">
    <w:name w:val="xl8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sz w:val="22"/>
      <w:szCs w:val="22"/>
    </w:rPr>
  </w:style>
  <w:style w:type="paragraph" w:customStyle="1" w:styleId="2150">
    <w:name w:val="xl858"/>
    <w:basedOn w:val="1"/>
    <w:qFormat/>
    <w:uiPriority w:val="0"/>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line="240" w:lineRule="auto"/>
      <w:jc w:val="center"/>
    </w:pPr>
    <w:rPr>
      <w:rFonts w:ascii="宋体" w:hAnsi="宋体" w:cs="宋体"/>
      <w:kern w:val="0"/>
      <w:sz w:val="24"/>
    </w:rPr>
  </w:style>
  <w:style w:type="paragraph" w:customStyle="1" w:styleId="2151">
    <w:name w:val="xl859"/>
    <w:basedOn w:val="1"/>
    <w:qFormat/>
    <w:uiPriority w:val="0"/>
    <w:pPr>
      <w:widowControl/>
      <w:pBdr>
        <w:top w:val="single" w:color="auto" w:sz="4" w:space="0"/>
        <w:left w:val="single" w:color="auto" w:sz="4" w:space="0"/>
        <w:bottom w:val="single" w:color="auto" w:sz="4" w:space="0"/>
        <w:right w:val="single" w:color="auto" w:sz="4" w:space="0"/>
      </w:pBdr>
      <w:shd w:val="clear" w:color="000000" w:fill="FABF8F"/>
      <w:spacing w:before="100" w:beforeAutospacing="1" w:after="100" w:afterAutospacing="1" w:line="240" w:lineRule="auto"/>
      <w:jc w:val="left"/>
    </w:pPr>
    <w:rPr>
      <w:rFonts w:ascii="宋体" w:hAnsi="宋体" w:cs="宋体"/>
      <w:kern w:val="0"/>
      <w:sz w:val="24"/>
    </w:rPr>
  </w:style>
  <w:style w:type="paragraph" w:customStyle="1" w:styleId="2152">
    <w:name w:val="TOC 标题61"/>
    <w:basedOn w:val="3"/>
    <w:next w:val="1"/>
    <w:qFormat/>
    <w:uiPriority w:val="39"/>
    <w:pPr>
      <w:widowControl/>
      <w:spacing w:before="480" w:after="0" w:line="276" w:lineRule="auto"/>
      <w:ind w:left="0" w:firstLine="0"/>
      <w:jc w:val="left"/>
      <w:outlineLvl w:val="9"/>
    </w:pPr>
    <w:rPr>
      <w:rFonts w:ascii="Cambria" w:hAnsi="Cambria" w:cs="Times New Roman"/>
      <w:b/>
      <w:bCs/>
      <w:color w:val="365F91"/>
      <w:kern w:val="0"/>
      <w:sz w:val="28"/>
      <w:szCs w:val="28"/>
    </w:rPr>
  </w:style>
  <w:style w:type="paragraph" w:customStyle="1" w:styleId="2153">
    <w:name w:val="z-窗体顶端11"/>
    <w:basedOn w:val="1"/>
    <w:next w:val="1"/>
    <w:unhideWhenUsed/>
    <w:qFormat/>
    <w:uiPriority w:val="99"/>
    <w:pPr>
      <w:widowControl/>
      <w:pBdr>
        <w:bottom w:val="single" w:color="auto" w:sz="6" w:space="1"/>
      </w:pBdr>
      <w:spacing w:line="240" w:lineRule="auto"/>
      <w:jc w:val="center"/>
    </w:pPr>
    <w:rPr>
      <w:rFonts w:ascii="Arial" w:hAnsi="Arial" w:cs="Arial"/>
      <w:vanish/>
      <w:sz w:val="16"/>
      <w:szCs w:val="16"/>
    </w:rPr>
  </w:style>
  <w:style w:type="paragraph" w:customStyle="1" w:styleId="2154">
    <w:name w:val="图表"/>
    <w:basedOn w:val="1"/>
    <w:link w:val="2155"/>
    <w:qFormat/>
    <w:uiPriority w:val="0"/>
    <w:pPr>
      <w:spacing w:line="240" w:lineRule="auto"/>
      <w:jc w:val="center"/>
    </w:pPr>
    <w:rPr>
      <w:rFonts w:ascii="Calibri" w:hAnsi="Calibri" w:eastAsia="黑体"/>
      <w:sz w:val="18"/>
      <w:szCs w:val="20"/>
    </w:rPr>
  </w:style>
  <w:style w:type="character" w:customStyle="1" w:styleId="2155">
    <w:name w:val="图表 Char"/>
    <w:link w:val="2154"/>
    <w:qFormat/>
    <w:uiPriority w:val="0"/>
    <w:rPr>
      <w:rFonts w:eastAsia="黑体"/>
      <w:kern w:val="2"/>
      <w:sz w:val="18"/>
    </w:rPr>
  </w:style>
  <w:style w:type="paragraph" w:customStyle="1" w:styleId="2156">
    <w:name w:val="z-窗体底端11"/>
    <w:basedOn w:val="1"/>
    <w:next w:val="1"/>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paragraph" w:customStyle="1" w:styleId="2157">
    <w:name w:val="z-窗体顶端21"/>
    <w:basedOn w:val="1"/>
    <w:next w:val="1"/>
    <w:unhideWhenUsed/>
    <w:qFormat/>
    <w:uiPriority w:val="99"/>
    <w:pPr>
      <w:widowControl/>
      <w:pBdr>
        <w:bottom w:val="single" w:color="auto" w:sz="6" w:space="1"/>
      </w:pBdr>
      <w:spacing w:line="240" w:lineRule="auto"/>
      <w:jc w:val="center"/>
    </w:pPr>
    <w:rPr>
      <w:rFonts w:ascii="Arial" w:hAnsi="Arial" w:cs="Arial"/>
      <w:vanish/>
      <w:kern w:val="0"/>
      <w:sz w:val="16"/>
      <w:szCs w:val="16"/>
    </w:rPr>
  </w:style>
  <w:style w:type="paragraph" w:customStyle="1" w:styleId="2158">
    <w:name w:val="z-窗体底端21"/>
    <w:basedOn w:val="1"/>
    <w:next w:val="1"/>
    <w:unhideWhenUsed/>
    <w:qFormat/>
    <w:uiPriority w:val="99"/>
    <w:pPr>
      <w:widowControl/>
      <w:pBdr>
        <w:top w:val="single" w:color="auto" w:sz="6" w:space="1"/>
      </w:pBdr>
      <w:spacing w:line="240" w:lineRule="auto"/>
      <w:jc w:val="center"/>
    </w:pPr>
    <w:rPr>
      <w:rFonts w:ascii="Arial" w:hAnsi="Arial" w:cs="Arial"/>
      <w:vanish/>
      <w:kern w:val="0"/>
      <w:sz w:val="16"/>
      <w:szCs w:val="16"/>
    </w:rPr>
  </w:style>
  <w:style w:type="character" w:customStyle="1" w:styleId="2159">
    <w:name w:val="z-窗体顶端 字符4"/>
    <w:basedOn w:val="96"/>
    <w:qFormat/>
    <w:uiPriority w:val="99"/>
    <w:rPr>
      <w:rFonts w:ascii="Arial" w:hAnsi="Arial" w:cs="Arial"/>
      <w:vanish/>
      <w:kern w:val="2"/>
      <w:sz w:val="16"/>
      <w:szCs w:val="16"/>
    </w:rPr>
  </w:style>
  <w:style w:type="character" w:customStyle="1" w:styleId="2160">
    <w:name w:val="z-窗体底端 字符3"/>
    <w:basedOn w:val="96"/>
    <w:qFormat/>
    <w:uiPriority w:val="99"/>
    <w:rPr>
      <w:rFonts w:ascii="Arial" w:hAnsi="Arial" w:cs="Arial"/>
      <w:vanish/>
      <w:kern w:val="2"/>
      <w:sz w:val="16"/>
      <w:szCs w:val="16"/>
    </w:rPr>
  </w:style>
  <w:style w:type="character" w:customStyle="1" w:styleId="2161">
    <w:name w:val="z-窗体顶端 字符5"/>
    <w:basedOn w:val="96"/>
    <w:semiHidden/>
    <w:qFormat/>
    <w:uiPriority w:val="99"/>
    <w:rPr>
      <w:rFonts w:ascii="Arial" w:hAnsi="Arial" w:cs="Arial"/>
      <w:vanish/>
      <w:kern w:val="2"/>
      <w:sz w:val="16"/>
      <w:szCs w:val="16"/>
    </w:rPr>
  </w:style>
  <w:style w:type="character" w:customStyle="1" w:styleId="2162">
    <w:name w:val="z-窗体底端 字符4"/>
    <w:basedOn w:val="96"/>
    <w:semiHidden/>
    <w:qFormat/>
    <w:uiPriority w:val="99"/>
    <w:rPr>
      <w:rFonts w:ascii="Arial" w:hAnsi="Arial" w:cs="Arial"/>
      <w:vanish/>
      <w:kern w:val="2"/>
      <w:sz w:val="16"/>
      <w:szCs w:val="16"/>
    </w:rPr>
  </w:style>
  <w:style w:type="table" w:customStyle="1" w:styleId="2163">
    <w:name w:val="网格表 5 深色 - 着色 5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cPr>
        <w:shd w:val="clear" w:color="auto" w:fill="B6DDE8" w:themeFill="accent5" w:themeFillTint="66"/>
      </w:tcPr>
    </w:tblStylePr>
    <w:tblStylePr w:type="band1Horz">
      <w:tcPr>
        <w:shd w:val="clear" w:color="auto" w:fill="B6DDE8" w:themeFill="accent5" w:themeFillTint="66"/>
      </w:tcPr>
    </w:tblStylePr>
  </w:style>
  <w:style w:type="table" w:customStyle="1" w:styleId="2164">
    <w:name w:val="网格表 5 深色 - 着色 1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cPr>
        <w:shd w:val="clear" w:color="auto" w:fill="B8CCE4" w:themeFill="accent1" w:themeFillTint="66"/>
      </w:tcPr>
    </w:tblStylePr>
    <w:tblStylePr w:type="band1Horz">
      <w:tcPr>
        <w:shd w:val="clear" w:color="auto" w:fill="B8CCE4" w:themeFill="accent1" w:themeFillTint="66"/>
      </w:tcPr>
    </w:tblStylePr>
  </w:style>
  <w:style w:type="table" w:customStyle="1" w:styleId="2165">
    <w:name w:val="网格表 4 - 着色 11"/>
    <w:basedOn w:val="88"/>
    <w:qFormat/>
    <w:uiPriority w:val="49"/>
    <w:tblPr>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14:textFill>
          <w14:solidFill>
            <w14:schemeClr w14:val="bg1"/>
          </w14:solidFill>
        </w14:textFill>
      </w:r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cPr>
        <w:tcBorders>
          <w:top w:val="double" w:color="4F81BD" w:themeColor="accent1" w:sz="4" w:space="0"/>
        </w:tcBorders>
      </w:tcPr>
    </w:tblStylePr>
    <w:tblStylePr w:type="firstCol">
      <w:rPr>
        <w:b/>
        <w:bCs/>
      </w:rPr>
    </w:tblStylePr>
    <w:tblStylePr w:type="lastCol">
      <w:rPr>
        <w:b/>
        <w:bCs/>
      </w:rPr>
    </w:tblStylePr>
    <w:tblStylePr w:type="band1Vert">
      <w:tcPr>
        <w:shd w:val="clear" w:color="auto" w:fill="DBE5F1" w:themeFill="accent1" w:themeFillTint="33"/>
      </w:tcPr>
    </w:tblStylePr>
    <w:tblStylePr w:type="band1Horz">
      <w:tcPr>
        <w:shd w:val="clear" w:color="auto" w:fill="DBE5F1" w:themeFill="accent1" w:themeFillTint="33"/>
      </w:tcPr>
    </w:tblStylePr>
  </w:style>
  <w:style w:type="table" w:customStyle="1" w:styleId="2166">
    <w:name w:val="网格型13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7">
    <w:name w:val="表格主题2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8">
    <w:name w:val="表格主题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9">
    <w:name w:val="列表型 3MO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170">
    <w:name w:val="网格型5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1">
    <w:name w:val="网格型3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2">
    <w:name w:val="网格型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3">
    <w:name w:val="网格型4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4">
    <w:name w:val="网格型6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5">
    <w:name w:val="网格型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6">
    <w:name w:val="网格型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7">
    <w:name w:val="网格型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8">
    <w:name w:val="网格型4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9">
    <w:name w:val="网格型5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0">
    <w:name w:val="网格型7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1">
    <w:name w:val="网格型8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2">
    <w:name w:val="网格型9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3">
    <w:name w:val="网格型10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4">
    <w:name w:val="网格型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5">
    <w:name w:val="网格型6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6">
    <w:name w:val="表格主题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7">
    <w:name w:val="网格型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8">
    <w:name w:val="网格型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9">
    <w:name w:val="网格型3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0">
    <w:name w:val="网格型4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1">
    <w:name w:val="网格型5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2">
    <w:name w:val="网格型7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3">
    <w:name w:val="网格型8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4">
    <w:name w:val="网格型9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5">
    <w:name w:val="网格型10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6">
    <w:name w:val="网格型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7">
    <w:name w:val="网格型27"/>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8">
    <w:name w:val="表格主题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9">
    <w:name w:val="典雅型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200">
    <w:name w:val="列表型 7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201">
    <w:name w:val="流行型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202">
    <w:name w:val="专业型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203">
    <w:name w:val="网格型5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4">
    <w:name w:val="网格型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5">
    <w:name w:val="网格型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6">
    <w:name w:val="网格型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7">
    <w:name w:val="网格型4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8">
    <w:name w:val="网格型6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9">
    <w:name w:val="列表型 7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210">
    <w:name w:val="表格主题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1">
    <w:name w:val="流行型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212">
    <w:name w:val="专业型1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213">
    <w:name w:val="典雅型1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214">
    <w:name w:val="网格型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5">
    <w:name w:val="网格型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6">
    <w:name w:val="网格型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7">
    <w:name w:val="网格型4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8">
    <w:name w:val="网格型5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9">
    <w:name w:val="网格型7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0">
    <w:name w:val="网格型8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1">
    <w:name w:val="网格型9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2">
    <w:name w:val="网格型10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3">
    <w:name w:val="网格型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4">
    <w:name w:val="网格型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5">
    <w:name w:val="网格型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6">
    <w:name w:val="网格型3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7">
    <w:name w:val="网格型4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8">
    <w:name w:val="网格型5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9">
    <w:name w:val="列表型 7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230">
    <w:name w:val="流行型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231">
    <w:name w:val="专业型1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232">
    <w:name w:val="典雅型1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233">
    <w:name w:val="列表型 3MO1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234">
    <w:name w:val="网格型16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5">
    <w:name w:val="网格型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6">
    <w:name w:val="网格型3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7">
    <w:name w:val="网格型4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8">
    <w:name w:val="网格型5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9">
    <w:name w:val="网格型6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0">
    <w:name w:val="表格主题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1">
    <w:name w:val="网格型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2">
    <w:name w:val="网格型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3">
    <w:name w:val="网格型3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4">
    <w:name w:val="网格型4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5">
    <w:name w:val="网格型5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6">
    <w:name w:val="网格型7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7">
    <w:name w:val="网格型8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8">
    <w:name w:val="网格型9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9">
    <w:name w:val="网格型10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0">
    <w:name w:val="网格型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1">
    <w:name w:val="网格型14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2">
    <w:name w:val="网格型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3">
    <w:name w:val="网格型3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4">
    <w:name w:val="网格型4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5">
    <w:name w:val="网格型5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6">
    <w:name w:val="网格型6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7">
    <w:name w:val="表格主题1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8">
    <w:name w:val="网格型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9">
    <w:name w:val="网格型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0">
    <w:name w:val="网格型3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1">
    <w:name w:val="网格型4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2">
    <w:name w:val="网格型5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3">
    <w:name w:val="网格型7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4">
    <w:name w:val="网格型8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5">
    <w:name w:val="网格型9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6">
    <w:name w:val="网格型10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7">
    <w:name w:val="网格型1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8">
    <w:name w:val="网格型14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9">
    <w:name w:val="网格型2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0">
    <w:name w:val="网格型3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1">
    <w:name w:val="网格型4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2">
    <w:name w:val="网格型52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3">
    <w:name w:val="网格型6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4">
    <w:name w:val="表格主题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5">
    <w:name w:val="网格型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6">
    <w:name w:val="网格型2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7">
    <w:name w:val="网格型3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8">
    <w:name w:val="网格型4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9">
    <w:name w:val="网格型5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0">
    <w:name w:val="网格型7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1">
    <w:name w:val="网格型8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2">
    <w:name w:val="网格型9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3">
    <w:name w:val="网格型10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4">
    <w:name w:val="网格型12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5">
    <w:name w:val="表格主题5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6">
    <w:name w:val="网格型55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7">
    <w:name w:val="网格型35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8">
    <w:name w:val="网格型25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9">
    <w:name w:val="网格型110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0">
    <w:name w:val="网格型45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1">
    <w:name w:val="网格型6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2">
    <w:name w:val="表格主题1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3">
    <w:name w:val="网格型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4">
    <w:name w:val="网格型2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5">
    <w:name w:val="网格型3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6">
    <w:name w:val="网格型4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7">
    <w:name w:val="网格型5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8">
    <w:name w:val="网格型7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9">
    <w:name w:val="网格型8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0">
    <w:name w:val="网格型9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1">
    <w:name w:val="网格型10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2">
    <w:name w:val="网格型12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3">
    <w:name w:val="网格型1332"/>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4">
    <w:name w:val="表格主题232"/>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5">
    <w:name w:val="典雅型232"/>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306">
    <w:name w:val="列表型 7232"/>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307">
    <w:name w:val="流行型232"/>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308">
    <w:name w:val="专业型232"/>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309">
    <w:name w:val="网格型14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0">
    <w:name w:val="网格型22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1">
    <w:name w:val="网格型32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2">
    <w:name w:val="网格型42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3">
    <w:name w:val="网格型52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4">
    <w:name w:val="网格型61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5">
    <w:name w:val="表格主题11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6">
    <w:name w:val="网格型11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7">
    <w:name w:val="网格型21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8">
    <w:name w:val="网格型31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9">
    <w:name w:val="网格型41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0">
    <w:name w:val="网格型51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1">
    <w:name w:val="网格型71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2">
    <w:name w:val="网格型8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3">
    <w:name w:val="网格型9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4">
    <w:name w:val="网格型10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5">
    <w:name w:val="网格型12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6">
    <w:name w:val="网格型13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7">
    <w:name w:val="表格主题21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8">
    <w:name w:val="网格型131121"/>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9">
    <w:name w:val="表格主题21121"/>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0">
    <w:name w:val="网格型14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1">
    <w:name w:val="网格型22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2">
    <w:name w:val="网格型32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3">
    <w:name w:val="网格型42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4">
    <w:name w:val="网格型521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5">
    <w:name w:val="网格型15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6">
    <w:name w:val="表格主题32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7">
    <w:name w:val="网格型53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8">
    <w:name w:val="网格型33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9">
    <w:name w:val="网格型23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0">
    <w:name w:val="网格型16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1">
    <w:name w:val="网格型432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2">
    <w:name w:val="网格型62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3">
    <w:name w:val="表格主题12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4">
    <w:name w:val="网格型11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5">
    <w:name w:val="网格型21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6">
    <w:name w:val="网格型31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7">
    <w:name w:val="网格型41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8">
    <w:name w:val="网格型51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9">
    <w:name w:val="网格型72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0">
    <w:name w:val="网格型8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1">
    <w:name w:val="网格型9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2">
    <w:name w:val="网格型10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3">
    <w:name w:val="网格型1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4">
    <w:name w:val="网格型13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5">
    <w:name w:val="表格主题22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6">
    <w:name w:val="网格型5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7">
    <w:name w:val="网格型3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8">
    <w:name w:val="网格型2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9">
    <w:name w:val="网格型14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0">
    <w:name w:val="网格型422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1">
    <w:name w:val="网格型61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2">
    <w:name w:val="表格主题11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3">
    <w:name w:val="网格型11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4">
    <w:name w:val="网格型21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5">
    <w:name w:val="网格型31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6">
    <w:name w:val="网格型41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7">
    <w:name w:val="网格型51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8">
    <w:name w:val="网格型711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9">
    <w:name w:val="网格型8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0">
    <w:name w:val="网格型9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1">
    <w:name w:val="网格型10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2">
    <w:name w:val="网格型1211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3">
    <w:name w:val="网格型1331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4">
    <w:name w:val="表格主题231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5">
    <w:name w:val="典雅型23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376">
    <w:name w:val="列表型 7231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377">
    <w:name w:val="流行型231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378">
    <w:name w:val="专业型23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379">
    <w:name w:val="表格主题6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0">
    <w:name w:val="典雅型6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381">
    <w:name w:val="列表型 3MO2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82">
    <w:name w:val="列表型 77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383">
    <w:name w:val="流行型7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384">
    <w:name w:val="专业型6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385">
    <w:name w:val="网格型56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6">
    <w:name w:val="网格型36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7">
    <w:name w:val="网格型26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8">
    <w:name w:val="网格型1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9">
    <w:name w:val="网格型46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0">
    <w:name w:val="网格型64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1">
    <w:name w:val="列表型 715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392">
    <w:name w:val="表格主题14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3">
    <w:name w:val="流行型15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394">
    <w:name w:val="专业型15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395">
    <w:name w:val="典雅型15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396">
    <w:name w:val="网格型115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7">
    <w:name w:val="网格型2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8">
    <w:name w:val="网格型3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9">
    <w:name w:val="网格型4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0">
    <w:name w:val="网格型51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1">
    <w:name w:val="网格型74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2">
    <w:name w:val="网格型8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3">
    <w:name w:val="网格型9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4">
    <w:name w:val="网格型10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5">
    <w:name w:val="网格型12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6">
    <w:name w:val="列表型 71141"/>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407">
    <w:name w:val="流行型1141"/>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408">
    <w:name w:val="专业型11411"/>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409">
    <w:name w:val="典雅型11411"/>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410">
    <w:name w:val="网格型13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1">
    <w:name w:val="表格主题24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2">
    <w:name w:val="列表型 3MO1311"/>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13">
    <w:name w:val="网格型52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4">
    <w:name w:val="网格型32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5">
    <w:name w:val="网格型22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6">
    <w:name w:val="网格型14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7">
    <w:name w:val="网格型424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8">
    <w:name w:val="网格型61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9">
    <w:name w:val="表格主题11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0">
    <w:name w:val="网格型1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1">
    <w:name w:val="网格型2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2">
    <w:name w:val="网格型3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3">
    <w:name w:val="网格型4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4">
    <w:name w:val="网格型51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5">
    <w:name w:val="网格型7131"/>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6">
    <w:name w:val="网格型8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7">
    <w:name w:val="网格型9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8">
    <w:name w:val="网格型10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9">
    <w:name w:val="网格型12131"/>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0">
    <w:name w:val="网格型29"/>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1">
    <w:name w:val="表格主题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2">
    <w:name w:val="典雅型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433">
    <w:name w:val="列表型 3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34">
    <w:name w:val="列表型 7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435">
    <w:name w:val="流行型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436">
    <w:name w:val="专业型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437">
    <w:name w:val="网格型5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8">
    <w:name w:val="网格型3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9">
    <w:name w:val="网格型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0">
    <w:name w:val="网格型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1">
    <w:name w:val="网格型4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2">
    <w:name w:val="网格型6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3">
    <w:name w:val="列表型 7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444">
    <w:name w:val="表格主题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5">
    <w:name w:val="流行型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446">
    <w:name w:val="专业型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447">
    <w:name w:val="典雅型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448">
    <w:name w:val="网格型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9">
    <w:name w:val="网格型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0">
    <w:name w:val="网格型3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1">
    <w:name w:val="网格型4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2">
    <w:name w:val="网格型5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3">
    <w:name w:val="网格型7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4">
    <w:name w:val="网格型8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5">
    <w:name w:val="网格型9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6">
    <w:name w:val="网格型10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7">
    <w:name w:val="网格型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8">
    <w:name w:val="列表型 3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459">
    <w:name w:val="网格型14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0">
    <w:name w:val="网格型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1">
    <w:name w:val="网格型3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2">
    <w:name w:val="网格型4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3">
    <w:name w:val="网格型5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4">
    <w:name w:val="列表型 7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465">
    <w:name w:val="流行型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466">
    <w:name w:val="列表型 71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467">
    <w:name w:val="流行型1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468">
    <w:name w:val="专业型11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469">
    <w:name w:val="典雅型11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470">
    <w:name w:val="列表型 3MO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471">
    <w:name w:val="网格型16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2">
    <w:name w:val="网格型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3">
    <w:name w:val="网格型3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4">
    <w:name w:val="网格型4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5">
    <w:name w:val="网格型5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6">
    <w:name w:val="网格型6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7">
    <w:name w:val="列表型 71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478">
    <w:name w:val="表格主题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9">
    <w:name w:val="流行型1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480">
    <w:name w:val="专业型1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481">
    <w:name w:val="典雅型1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482">
    <w:name w:val="网格型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3">
    <w:name w:val="网格型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4">
    <w:name w:val="网格型3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5">
    <w:name w:val="网格型4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6">
    <w:name w:val="网格型5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7">
    <w:name w:val="网格型7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8">
    <w:name w:val="网格型8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9">
    <w:name w:val="网格型9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0">
    <w:name w:val="网格型10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1">
    <w:name w:val="网格型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2">
    <w:name w:val="列表型 31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93">
    <w:name w:val="列表型 71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494">
    <w:name w:val="列表型 3111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495">
    <w:name w:val="专业型11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496">
    <w:name w:val="流行型1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497">
    <w:name w:val="典雅型11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498">
    <w:name w:val="网格型14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9">
    <w:name w:val="网格型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0">
    <w:name w:val="网格型3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1">
    <w:name w:val="网格型4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2">
    <w:name w:val="网格型5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3">
    <w:name w:val="网格型172"/>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4">
    <w:name w:val="表格主题4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5">
    <w:name w:val="网格型5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6">
    <w:name w:val="网格型3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7">
    <w:name w:val="网格型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8">
    <w:name w:val="网格型18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9">
    <w:name w:val="网格型4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0">
    <w:name w:val="网格型6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1">
    <w:name w:val="表格主题1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2">
    <w:name w:val="网格型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3">
    <w:name w:val="网格型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4">
    <w:name w:val="网格型3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5">
    <w:name w:val="网格型4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6">
    <w:name w:val="网格型5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7">
    <w:name w:val="网格型7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8">
    <w:name w:val="网格型8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9">
    <w:name w:val="网格型9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0">
    <w:name w:val="网格型10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1">
    <w:name w:val="网格型1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2">
    <w:name w:val="网格型14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3">
    <w:name w:val="网格型2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4">
    <w:name w:val="网格型3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5">
    <w:name w:val="网格型4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6">
    <w:name w:val="网格型52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7">
    <w:name w:val="列表型 711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528">
    <w:name w:val="流行型11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529">
    <w:name w:val="专业型11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530">
    <w:name w:val="典雅型11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531">
    <w:name w:val="网格型16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2">
    <w:name w:val="网格型23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3">
    <w:name w:val="网格型33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4">
    <w:name w:val="网格型43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5">
    <w:name w:val="网格型53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6">
    <w:name w:val="网格型6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7">
    <w:name w:val="表格主题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8">
    <w:name w:val="网格型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9">
    <w:name w:val="网格型2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0">
    <w:name w:val="网格型3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1">
    <w:name w:val="网格型4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2">
    <w:name w:val="网格型5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3">
    <w:name w:val="网格型7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4">
    <w:name w:val="网格型8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5">
    <w:name w:val="网格型9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6">
    <w:name w:val="网格型10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7">
    <w:name w:val="网格型1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8">
    <w:name w:val="网格型13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9">
    <w:name w:val="表格主题21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0">
    <w:name w:val="网格型14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1">
    <w:name w:val="网格型22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2">
    <w:name w:val="网格型32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3">
    <w:name w:val="网格型42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4">
    <w:name w:val="网格型52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5">
    <w:name w:val="Table Normal12"/>
    <w:semiHidden/>
    <w:unhideWhenUsed/>
    <w:qFormat/>
    <w:uiPriority w:val="2"/>
    <w:pPr>
      <w:widowControl w:val="0"/>
      <w:autoSpaceDE w:val="0"/>
      <w:autoSpaceDN w:val="0"/>
    </w:pPr>
    <w:rPr>
      <w:rFonts w:ascii="等线" w:hAnsi="等线" w:eastAsia="等线" w:cs="Calibri"/>
      <w:sz w:val="22"/>
      <w:szCs w:val="22"/>
      <w:lang w:eastAsia="en-US"/>
    </w:rPr>
    <w:tblPr>
      <w:tblCellMar>
        <w:top w:w="0" w:type="dxa"/>
        <w:left w:w="0" w:type="dxa"/>
        <w:bottom w:w="0" w:type="dxa"/>
        <w:right w:w="0" w:type="dxa"/>
      </w:tblCellMar>
    </w:tblPr>
  </w:style>
  <w:style w:type="table" w:customStyle="1" w:styleId="2556">
    <w:name w:val="网格型19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7">
    <w:name w:val="表格主题5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8">
    <w:name w:val="典雅型5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559">
    <w:name w:val="列表型 33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560">
    <w:name w:val="列表型 76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561">
    <w:name w:val="流行型6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562">
    <w:name w:val="专业型5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563">
    <w:name w:val="网格型55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4">
    <w:name w:val="网格型35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5">
    <w:name w:val="网格型25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6">
    <w:name w:val="网格型110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7">
    <w:name w:val="网格型45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8">
    <w:name w:val="网格型6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9">
    <w:name w:val="列表型 714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570">
    <w:name w:val="表格主题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1">
    <w:name w:val="流行型14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572">
    <w:name w:val="专业型14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573">
    <w:name w:val="典雅型14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574">
    <w:name w:val="网格型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5">
    <w:name w:val="网格型2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6">
    <w:name w:val="网格型3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7">
    <w:name w:val="网格型4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8">
    <w:name w:val="网格型5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9">
    <w:name w:val="网格型7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0">
    <w:name w:val="网格型8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1">
    <w:name w:val="网格型9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2">
    <w:name w:val="网格型10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3">
    <w:name w:val="网格型12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4">
    <w:name w:val="网格型1333"/>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5">
    <w:name w:val="表格主题233"/>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6">
    <w:name w:val="典雅型233"/>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587">
    <w:name w:val="列表型 313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588">
    <w:name w:val="列表型 7233"/>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589">
    <w:name w:val="流行型233"/>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590">
    <w:name w:val="专业型233"/>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591">
    <w:name w:val="网格型14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2">
    <w:name w:val="网格型22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3">
    <w:name w:val="网格型32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4">
    <w:name w:val="网格型42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5">
    <w:name w:val="网格型52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6">
    <w:name w:val="网格型61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7">
    <w:name w:val="列表型 7113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598">
    <w:name w:val="表格主题11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9">
    <w:name w:val="流行型113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600">
    <w:name w:val="专业型113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601">
    <w:name w:val="典雅型113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602">
    <w:name w:val="网格型1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3">
    <w:name w:val="网格型2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4">
    <w:name w:val="网格型3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5">
    <w:name w:val="网格型4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6">
    <w:name w:val="网格型51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7">
    <w:name w:val="网格型71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8">
    <w:name w:val="网格型8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9">
    <w:name w:val="网格型9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0">
    <w:name w:val="网格型10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1">
    <w:name w:val="网格型1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2">
    <w:name w:val="网格型13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3">
    <w:name w:val="表格主题2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4">
    <w:name w:val="典雅型213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615">
    <w:name w:val="列表型 3113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616">
    <w:name w:val="列表型 7213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17">
    <w:name w:val="流行型213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18">
    <w:name w:val="专业型213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619">
    <w:name w:val="列表型 71113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20">
    <w:name w:val="列表型 31112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621">
    <w:name w:val="专业型1112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622">
    <w:name w:val="流行型1113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23">
    <w:name w:val="典雅型1112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624">
    <w:name w:val="网格型131122"/>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5">
    <w:name w:val="表格主题21122"/>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6">
    <w:name w:val="典雅型21122"/>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2627">
    <w:name w:val="列表型 721122"/>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628">
    <w:name w:val="流行型21122"/>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629">
    <w:name w:val="专业型21122"/>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2630">
    <w:name w:val="网格型14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1">
    <w:name w:val="网格型2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2">
    <w:name w:val="网格型3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3">
    <w:name w:val="网格型4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4">
    <w:name w:val="网格型521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5">
    <w:name w:val="列表型 733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36">
    <w:name w:val="流行型33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37">
    <w:name w:val="网格型15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8">
    <w:name w:val="表格主题32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9">
    <w:name w:val="典雅型32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640">
    <w:name w:val="列表型 3MO12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641">
    <w:name w:val="列表型 742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42">
    <w:name w:val="流行型42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43">
    <w:name w:val="专业型32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644">
    <w:name w:val="网格型53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5">
    <w:name w:val="网格型33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6">
    <w:name w:val="网格型23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7">
    <w:name w:val="网格型16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8">
    <w:name w:val="网格型432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9">
    <w:name w:val="网格型62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0">
    <w:name w:val="列表型 7122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651">
    <w:name w:val="表格主题12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2">
    <w:name w:val="流行型122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653">
    <w:name w:val="专业型122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654">
    <w:name w:val="典雅型122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655">
    <w:name w:val="网格型11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6">
    <w:name w:val="网格型21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7">
    <w:name w:val="网格型31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8">
    <w:name w:val="网格型41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9">
    <w:name w:val="网格型51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0">
    <w:name w:val="网格型72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1">
    <w:name w:val="网格型8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2">
    <w:name w:val="网格型9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3">
    <w:name w:val="网格型10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4">
    <w:name w:val="网格型1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5">
    <w:name w:val="列表型 7221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66">
    <w:name w:val="流行型221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67">
    <w:name w:val="列表型 71121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668">
    <w:name w:val="流行型1121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669">
    <w:name w:val="专业型1121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670">
    <w:name w:val="典雅型1121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671">
    <w:name w:val="网格型13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2">
    <w:name w:val="表格主题22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3">
    <w:name w:val="典雅型221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674">
    <w:name w:val="专业型221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675">
    <w:name w:val="网格型5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6">
    <w:name w:val="网格型3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7">
    <w:name w:val="网格型2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8">
    <w:name w:val="网格型14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9">
    <w:name w:val="网格型422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0">
    <w:name w:val="网格型6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1">
    <w:name w:val="表格主题1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2">
    <w:name w:val="网格型1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3">
    <w:name w:val="网格型2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4">
    <w:name w:val="网格型3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5">
    <w:name w:val="网格型4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6">
    <w:name w:val="网格型51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7">
    <w:name w:val="网格型711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8">
    <w:name w:val="网格型8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9">
    <w:name w:val="网格型9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0">
    <w:name w:val="网格型10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1">
    <w:name w:val="网格型1211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2">
    <w:name w:val="网格型1331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3">
    <w:name w:val="表格主题231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4">
    <w:name w:val="典雅型231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695">
    <w:name w:val="列表型 7231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696">
    <w:name w:val="流行型231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697">
    <w:name w:val="专业型231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698">
    <w:name w:val="网格型20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9">
    <w:name w:val="表格主题6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0">
    <w:name w:val="典雅型6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701">
    <w:name w:val="列表型 3MO2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02">
    <w:name w:val="列表型 77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703">
    <w:name w:val="流行型7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704">
    <w:name w:val="专业型6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705">
    <w:name w:val="网格型56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6">
    <w:name w:val="网格型36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7">
    <w:name w:val="网格型26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8">
    <w:name w:val="网格型1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9">
    <w:name w:val="网格型46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0">
    <w:name w:val="网格型64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1">
    <w:name w:val="列表型 715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712">
    <w:name w:val="表格主题14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3">
    <w:name w:val="流行型15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714">
    <w:name w:val="专业型15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715">
    <w:name w:val="典雅型15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716">
    <w:name w:val="网格型115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7">
    <w:name w:val="网格型2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8">
    <w:name w:val="网格型3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9">
    <w:name w:val="网格型4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0">
    <w:name w:val="网格型51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1">
    <w:name w:val="网格型74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2">
    <w:name w:val="网格型8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3">
    <w:name w:val="网格型9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4">
    <w:name w:val="网格型10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5">
    <w:name w:val="网格型1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6">
    <w:name w:val="列表型 724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727">
    <w:name w:val="流行型24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728">
    <w:name w:val="列表型 71142"/>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729">
    <w:name w:val="流行型1142"/>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730">
    <w:name w:val="专业型114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731">
    <w:name w:val="典雅型114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732">
    <w:name w:val="网格型13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3">
    <w:name w:val="表格主题24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4">
    <w:name w:val="典雅型242"/>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735">
    <w:name w:val="列表型 3MO132"/>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36">
    <w:name w:val="专业型242"/>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737">
    <w:name w:val="网格型5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8">
    <w:name w:val="网格型3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9">
    <w:name w:val="网格型2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0">
    <w:name w:val="网格型14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1">
    <w:name w:val="网格型424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2">
    <w:name w:val="网格型6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3">
    <w:name w:val="表格主题1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4">
    <w:name w:val="网格型1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5">
    <w:name w:val="网格型2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6">
    <w:name w:val="网格型3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7">
    <w:name w:val="网格型4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8">
    <w:name w:val="网格型51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9">
    <w:name w:val="网格型7132"/>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0">
    <w:name w:val="网格型8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1">
    <w:name w:val="网格型9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2">
    <w:name w:val="网格型10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3">
    <w:name w:val="网格型12132"/>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4">
    <w:name w:val="网格型30"/>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5">
    <w:name w:val="表格主题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6">
    <w:name w:val="典雅型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757">
    <w:name w:val="列表型 36"/>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58">
    <w:name w:val="列表型 7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759">
    <w:name w:val="流行型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760">
    <w:name w:val="专业型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761">
    <w:name w:val="网格型5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2">
    <w:name w:val="网格型3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3">
    <w:name w:val="网格型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4">
    <w:name w:val="网格型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5">
    <w:name w:val="网格型4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6">
    <w:name w:val="网格型6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7">
    <w:name w:val="列表型 7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768">
    <w:name w:val="表格主题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9">
    <w:name w:val="流行型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770">
    <w:name w:val="专业型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771">
    <w:name w:val="典雅型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772">
    <w:name w:val="网格型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3">
    <w:name w:val="网格型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4">
    <w:name w:val="网格型3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5">
    <w:name w:val="网格型4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6">
    <w:name w:val="网格型5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7">
    <w:name w:val="网格型7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8">
    <w:name w:val="网格型8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9">
    <w:name w:val="网格型9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0">
    <w:name w:val="网格型10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1">
    <w:name w:val="网格型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2">
    <w:name w:val="列表型 316"/>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783">
    <w:name w:val="网格型14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4">
    <w:name w:val="网格型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5">
    <w:name w:val="网格型3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6">
    <w:name w:val="网格型4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7">
    <w:name w:val="网格型5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8">
    <w:name w:val="列表型 73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789">
    <w:name w:val="流行型3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790">
    <w:name w:val="列表型 71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791">
    <w:name w:val="流行型1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792">
    <w:name w:val="专业型1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793">
    <w:name w:val="典雅型1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794">
    <w:name w:val="列表型 3MO16"/>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795">
    <w:name w:val="网格型16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6">
    <w:name w:val="网格型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7">
    <w:name w:val="网格型3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8">
    <w:name w:val="网格型4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9">
    <w:name w:val="网格型5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0">
    <w:name w:val="网格型6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1">
    <w:name w:val="列表型 71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802">
    <w:name w:val="表格主题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3">
    <w:name w:val="流行型1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804">
    <w:name w:val="专业型1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805">
    <w:name w:val="典雅型1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806">
    <w:name w:val="网格型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7">
    <w:name w:val="网格型2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8">
    <w:name w:val="网格型3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9">
    <w:name w:val="网格型4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0">
    <w:name w:val="网格型5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1">
    <w:name w:val="网格型7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2">
    <w:name w:val="网格型8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3">
    <w:name w:val="网格型9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4">
    <w:name w:val="网格型10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5">
    <w:name w:val="网格型1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6">
    <w:name w:val="网格型13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7">
    <w:name w:val="表格主题2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8">
    <w:name w:val="列表型 3116"/>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19">
    <w:name w:val="列表型 711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20">
    <w:name w:val="列表型 311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821">
    <w:name w:val="专业型11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822">
    <w:name w:val="流行型11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23">
    <w:name w:val="典雅型11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824">
    <w:name w:val="网格型14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5">
    <w:name w:val="网格型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6">
    <w:name w:val="网格型3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7">
    <w:name w:val="网格型4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8">
    <w:name w:val="网格型5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9">
    <w:name w:val="列表型 73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30">
    <w:name w:val="流行型3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31">
    <w:name w:val="列表型 7111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32">
    <w:name w:val="流行型111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33">
    <w:name w:val="Table Normal4"/>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2834">
    <w:name w:val="网格型173"/>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5">
    <w:name w:val="表格主题4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6">
    <w:name w:val="典雅型4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837">
    <w:name w:val="列表型 3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38">
    <w:name w:val="列表型 75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39">
    <w:name w:val="流行型5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40">
    <w:name w:val="专业型4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841">
    <w:name w:val="网格型5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2">
    <w:name w:val="网格型3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3">
    <w:name w:val="网格型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4">
    <w:name w:val="网格型18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5">
    <w:name w:val="网格型4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6">
    <w:name w:val="网格型6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7">
    <w:name w:val="列表型 713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848">
    <w:name w:val="表格主题1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9">
    <w:name w:val="流行型13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850">
    <w:name w:val="专业型13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851">
    <w:name w:val="典雅型13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852">
    <w:name w:val="网格型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3">
    <w:name w:val="网格型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4">
    <w:name w:val="网格型3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5">
    <w:name w:val="网格型4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6">
    <w:name w:val="网格型5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7">
    <w:name w:val="网格型7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8">
    <w:name w:val="网格型8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9">
    <w:name w:val="网格型9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0">
    <w:name w:val="网格型10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1">
    <w:name w:val="网格型1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2">
    <w:name w:val="列表型 31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863">
    <w:name w:val="网格型14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4">
    <w:name w:val="网格型2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5">
    <w:name w:val="网格型3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6">
    <w:name w:val="网格型4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7">
    <w:name w:val="网格型52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8">
    <w:name w:val="列表型 73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69">
    <w:name w:val="流行型3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70">
    <w:name w:val="列表型 711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871">
    <w:name w:val="流行型11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872">
    <w:name w:val="专业型11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873">
    <w:name w:val="典雅型11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874">
    <w:name w:val="列表型 3MO11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875">
    <w:name w:val="网格型16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6">
    <w:name w:val="网格型23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7">
    <w:name w:val="网格型33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8">
    <w:name w:val="网格型43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9">
    <w:name w:val="网格型53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0">
    <w:name w:val="网格型6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1">
    <w:name w:val="列表型 712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882">
    <w:name w:val="表格主题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3">
    <w:name w:val="流行型12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884">
    <w:name w:val="专业型12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885">
    <w:name w:val="典雅型12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886">
    <w:name w:val="网格型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7">
    <w:name w:val="网格型2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8">
    <w:name w:val="网格型3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9">
    <w:name w:val="网格型4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0">
    <w:name w:val="网格型5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1">
    <w:name w:val="网格型7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2">
    <w:name w:val="网格型8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3">
    <w:name w:val="网格型9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4">
    <w:name w:val="网格型10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5">
    <w:name w:val="网格型1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6">
    <w:name w:val="网格型13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7">
    <w:name w:val="表格主题21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8">
    <w:name w:val="典雅型21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899">
    <w:name w:val="列表型 311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900">
    <w:name w:val="列表型 721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01">
    <w:name w:val="流行型21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02">
    <w:name w:val="专业型21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903">
    <w:name w:val="列表型 7111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04">
    <w:name w:val="列表型 31111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905">
    <w:name w:val="专业型111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906">
    <w:name w:val="流行型111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07">
    <w:name w:val="典雅型111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908">
    <w:name w:val="网格型14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9">
    <w:name w:val="网格型2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0">
    <w:name w:val="网格型3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1">
    <w:name w:val="网格型4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2">
    <w:name w:val="网格型52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3">
    <w:name w:val="列表型 731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14">
    <w:name w:val="流行型31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15">
    <w:name w:val="列表型 71111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16">
    <w:name w:val="流行型1111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17">
    <w:name w:val="Table Normal13"/>
    <w:semiHidden/>
    <w:unhideWhenUsed/>
    <w:qFormat/>
    <w:uiPriority w:val="2"/>
    <w:pPr>
      <w:widowControl w:val="0"/>
      <w:autoSpaceDE w:val="0"/>
      <w:autoSpaceDN w:val="0"/>
    </w:pPr>
    <w:rPr>
      <w:rFonts w:ascii="等线" w:hAnsi="等线" w:eastAsia="等线" w:cs="Calibri"/>
      <w:sz w:val="22"/>
      <w:szCs w:val="22"/>
      <w:lang w:eastAsia="en-US"/>
    </w:rPr>
    <w:tblPr>
      <w:tblCellMar>
        <w:top w:w="0" w:type="dxa"/>
        <w:left w:w="0" w:type="dxa"/>
        <w:bottom w:w="0" w:type="dxa"/>
        <w:right w:w="0" w:type="dxa"/>
      </w:tblCellMar>
    </w:tblPr>
  </w:style>
  <w:style w:type="table" w:customStyle="1" w:styleId="2918">
    <w:name w:val="网格型19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9">
    <w:name w:val="表格主题5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0">
    <w:name w:val="典雅型5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921">
    <w:name w:val="列表型 33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922">
    <w:name w:val="列表型 76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23">
    <w:name w:val="流行型6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24">
    <w:name w:val="专业型5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925">
    <w:name w:val="网格型55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6">
    <w:name w:val="网格型35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7">
    <w:name w:val="网格型25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8">
    <w:name w:val="网格型110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9">
    <w:name w:val="网格型45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0">
    <w:name w:val="网格型6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1">
    <w:name w:val="列表型 714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932">
    <w:name w:val="表格主题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3">
    <w:name w:val="流行型14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934">
    <w:name w:val="专业型14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935">
    <w:name w:val="典雅型14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936">
    <w:name w:val="网格型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7">
    <w:name w:val="网格型2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8">
    <w:name w:val="网格型3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9">
    <w:name w:val="网格型4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0">
    <w:name w:val="网格型5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1">
    <w:name w:val="网格型7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2">
    <w:name w:val="网格型8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3">
    <w:name w:val="网格型9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4">
    <w:name w:val="网格型10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5">
    <w:name w:val="网格型1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6">
    <w:name w:val="网格型1334"/>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7">
    <w:name w:val="表格主题234"/>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8">
    <w:name w:val="典雅型234"/>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949">
    <w:name w:val="列表型 313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2950">
    <w:name w:val="列表型 7234"/>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951">
    <w:name w:val="流行型234"/>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952">
    <w:name w:val="专业型234"/>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953">
    <w:name w:val="网格型14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4">
    <w:name w:val="网格型2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5">
    <w:name w:val="网格型3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6">
    <w:name w:val="网格型4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7">
    <w:name w:val="网格型52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8">
    <w:name w:val="网格型61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9">
    <w:name w:val="列表型 7113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2960">
    <w:name w:val="表格主题11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1">
    <w:name w:val="流行型113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2962">
    <w:name w:val="专业型113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2963">
    <w:name w:val="典雅型113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2964">
    <w:name w:val="网格型1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5">
    <w:name w:val="网格型2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6">
    <w:name w:val="网格型3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7">
    <w:name w:val="网格型4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8">
    <w:name w:val="网格型51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9">
    <w:name w:val="网格型71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0">
    <w:name w:val="网格型8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1">
    <w:name w:val="网格型9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2">
    <w:name w:val="网格型10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3">
    <w:name w:val="网格型1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4">
    <w:name w:val="网格型13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5">
    <w:name w:val="表格主题2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6">
    <w:name w:val="典雅型213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977">
    <w:name w:val="列表型 3113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978">
    <w:name w:val="列表型 7213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79">
    <w:name w:val="流行型213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80">
    <w:name w:val="专业型213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981">
    <w:name w:val="列表型 71113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82">
    <w:name w:val="列表型 3111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2983">
    <w:name w:val="专业型111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2984">
    <w:name w:val="流行型1113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85">
    <w:name w:val="典雅型111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2986">
    <w:name w:val="网格型131123"/>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7">
    <w:name w:val="表格主题21123"/>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8">
    <w:name w:val="典雅型21123"/>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2989">
    <w:name w:val="列表型 721123"/>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2990">
    <w:name w:val="流行型21123"/>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2991">
    <w:name w:val="专业型21123"/>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2992">
    <w:name w:val="网格型14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3">
    <w:name w:val="网格型2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4">
    <w:name w:val="网格型3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5">
    <w:name w:val="网格型4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6">
    <w:name w:val="网格型521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7">
    <w:name w:val="列表型 733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2998">
    <w:name w:val="流行型33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2999">
    <w:name w:val="网格型15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0">
    <w:name w:val="表格主题32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1">
    <w:name w:val="典雅型3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002">
    <w:name w:val="列表型 3MO1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03">
    <w:name w:val="列表型 74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04">
    <w:name w:val="流行型4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005">
    <w:name w:val="专业型3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006">
    <w:name w:val="网格型53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7">
    <w:name w:val="网格型33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8">
    <w:name w:val="网格型23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9">
    <w:name w:val="网格型16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0">
    <w:name w:val="网格型432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1">
    <w:name w:val="网格型62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2">
    <w:name w:val="列表型 7122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013">
    <w:name w:val="表格主题12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4">
    <w:name w:val="流行型122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015">
    <w:name w:val="专业型122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016">
    <w:name w:val="典雅型122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017">
    <w:name w:val="网格型1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8">
    <w:name w:val="网格型2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9">
    <w:name w:val="网格型3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0">
    <w:name w:val="网格型4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1">
    <w:name w:val="网格型51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2">
    <w:name w:val="网格型72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3">
    <w:name w:val="网格型8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4">
    <w:name w:val="网格型9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5">
    <w:name w:val="网格型10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6">
    <w:name w:val="网格型1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7">
    <w:name w:val="列表型 722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28">
    <w:name w:val="流行型22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029">
    <w:name w:val="列表型 7112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030">
    <w:name w:val="流行型112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031">
    <w:name w:val="专业型112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032">
    <w:name w:val="典雅型112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033">
    <w:name w:val="网格型13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4">
    <w:name w:val="表格主题22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5">
    <w:name w:val="典雅型22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036">
    <w:name w:val="专业型22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037">
    <w:name w:val="网格型5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8">
    <w:name w:val="网格型3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9">
    <w:name w:val="网格型2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0">
    <w:name w:val="网格型14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1">
    <w:name w:val="网格型422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2">
    <w:name w:val="网格型6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3">
    <w:name w:val="表格主题1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4">
    <w:name w:val="网格型1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5">
    <w:name w:val="网格型2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6">
    <w:name w:val="网格型3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7">
    <w:name w:val="网格型4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8">
    <w:name w:val="网格型51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9">
    <w:name w:val="网格型711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0">
    <w:name w:val="网格型8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1">
    <w:name w:val="网格型9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2">
    <w:name w:val="网格型10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3">
    <w:name w:val="网格型1211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4">
    <w:name w:val="网格型1331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5">
    <w:name w:val="表格主题231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6">
    <w:name w:val="典雅型231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057">
    <w:name w:val="列表型 7231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58">
    <w:name w:val="流行型231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059">
    <w:name w:val="专业型231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060">
    <w:name w:val="网格型20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1">
    <w:name w:val="表格主题6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2">
    <w:name w:val="典雅型6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063">
    <w:name w:val="列表型 3MO2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64">
    <w:name w:val="列表型 77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65">
    <w:name w:val="流行型7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066">
    <w:name w:val="专业型6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067">
    <w:name w:val="网格型56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8">
    <w:name w:val="网格型36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9">
    <w:name w:val="网格型26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0">
    <w:name w:val="网格型1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1">
    <w:name w:val="网格型46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2">
    <w:name w:val="网格型64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3">
    <w:name w:val="列表型 715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074">
    <w:name w:val="表格主题14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5">
    <w:name w:val="流行型15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076">
    <w:name w:val="专业型15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077">
    <w:name w:val="典雅型15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078">
    <w:name w:val="网格型115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9">
    <w:name w:val="网格型2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0">
    <w:name w:val="网格型3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1">
    <w:name w:val="网格型4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2">
    <w:name w:val="网格型51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3">
    <w:name w:val="网格型74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4">
    <w:name w:val="网格型8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5">
    <w:name w:val="网格型9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6">
    <w:name w:val="网格型10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7">
    <w:name w:val="网格型1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8">
    <w:name w:val="列表型 724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89">
    <w:name w:val="流行型24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090">
    <w:name w:val="列表型 71143"/>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091">
    <w:name w:val="流行型1143"/>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092">
    <w:name w:val="专业型114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093">
    <w:name w:val="典雅型114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094">
    <w:name w:val="网格型13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5">
    <w:name w:val="表格主题24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6">
    <w:name w:val="典雅型243"/>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097">
    <w:name w:val="列表型 3MO133"/>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98">
    <w:name w:val="专业型243"/>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099">
    <w:name w:val="网格型5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0">
    <w:name w:val="网格型3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1">
    <w:name w:val="网格型2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2">
    <w:name w:val="网格型14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3">
    <w:name w:val="网格型424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4">
    <w:name w:val="网格型6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5">
    <w:name w:val="表格主题1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6">
    <w:name w:val="网格型1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7">
    <w:name w:val="网格型2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8">
    <w:name w:val="网格型3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9">
    <w:name w:val="网格型4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0">
    <w:name w:val="网格型51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1">
    <w:name w:val="网格型7133"/>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2">
    <w:name w:val="网格型8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3">
    <w:name w:val="网格型9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4">
    <w:name w:val="网格型10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5">
    <w:name w:val="网格型12133"/>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6">
    <w:name w:val="网格型40"/>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7">
    <w:name w:val="表格主题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8">
    <w:name w:val="典雅型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119">
    <w:name w:val="列表型 37"/>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120">
    <w:name w:val="列表型 7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21">
    <w:name w:val="流行型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22">
    <w:name w:val="专业型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123">
    <w:name w:val="网格型5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4">
    <w:name w:val="网格型3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5">
    <w:name w:val="网格型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6">
    <w:name w:val="网格型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7">
    <w:name w:val="网格型4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8">
    <w:name w:val="网格型6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9">
    <w:name w:val="列表型 7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130">
    <w:name w:val="表格主题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1">
    <w:name w:val="流行型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132">
    <w:name w:val="专业型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133">
    <w:name w:val="典雅型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134">
    <w:name w:val="网格型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5">
    <w:name w:val="网格型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6">
    <w:name w:val="网格型3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7">
    <w:name w:val="网格型4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8">
    <w:name w:val="网格型5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9">
    <w:name w:val="网格型7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0">
    <w:name w:val="网格型8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1">
    <w:name w:val="网格型9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2">
    <w:name w:val="网格型10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3">
    <w:name w:val="网格型1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4">
    <w:name w:val="列表型 317"/>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145">
    <w:name w:val="网格型14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6">
    <w:name w:val="网格型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7">
    <w:name w:val="网格型3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8">
    <w:name w:val="网格型4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9">
    <w:name w:val="网格型5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0">
    <w:name w:val="列表型 73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51">
    <w:name w:val="流行型3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52">
    <w:name w:val="列表型 71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53">
    <w:name w:val="流行型1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54">
    <w:name w:val="专业型1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155">
    <w:name w:val="典雅型1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156">
    <w:name w:val="列表型 3MO17"/>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157">
    <w:name w:val="网格型16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8">
    <w:name w:val="网格型23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9">
    <w:name w:val="网格型33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0">
    <w:name w:val="网格型43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1">
    <w:name w:val="网格型53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2">
    <w:name w:val="网格型6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3">
    <w:name w:val="列表型 712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164">
    <w:name w:val="表格主题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5">
    <w:name w:val="流行型12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166">
    <w:name w:val="专业型12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167">
    <w:name w:val="典雅型12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168">
    <w:name w:val="网格型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9">
    <w:name w:val="网格型2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0">
    <w:name w:val="网格型3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1">
    <w:name w:val="网格型4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2">
    <w:name w:val="网格型5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3">
    <w:name w:val="网格型7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4">
    <w:name w:val="网格型8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5">
    <w:name w:val="网格型9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6">
    <w:name w:val="网格型10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7">
    <w:name w:val="网格型1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8">
    <w:name w:val="网格型13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9">
    <w:name w:val="表格主题2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0">
    <w:name w:val="典雅型2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181">
    <w:name w:val="列表型 3117"/>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182">
    <w:name w:val="列表型 72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83">
    <w:name w:val="流行型2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84">
    <w:name w:val="专业型2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185">
    <w:name w:val="列表型 711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86">
    <w:name w:val="列表型 31116"/>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187">
    <w:name w:val="专业型111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188">
    <w:name w:val="流行型11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89">
    <w:name w:val="典雅型111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190">
    <w:name w:val="网格型14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1">
    <w:name w:val="网格型2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2">
    <w:name w:val="网格型3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3">
    <w:name w:val="网格型4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4">
    <w:name w:val="网格型52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5">
    <w:name w:val="列表型 73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96">
    <w:name w:val="流行型3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97">
    <w:name w:val="列表型 711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198">
    <w:name w:val="流行型11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99">
    <w:name w:val="Table Normal5"/>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3200">
    <w:name w:val="网格型174"/>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1">
    <w:name w:val="表格主题4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2">
    <w:name w:val="典雅型4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203">
    <w:name w:val="列表型 3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04">
    <w:name w:val="列表型 75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05">
    <w:name w:val="流行型5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06">
    <w:name w:val="专业型4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207">
    <w:name w:val="网格型5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8">
    <w:name w:val="网格型3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9">
    <w:name w:val="网格型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0">
    <w:name w:val="网格型18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1">
    <w:name w:val="网格型4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2">
    <w:name w:val="网格型6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3">
    <w:name w:val="列表型 713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214">
    <w:name w:val="表格主题1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5">
    <w:name w:val="流行型13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216">
    <w:name w:val="专业型13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217">
    <w:name w:val="典雅型13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218">
    <w:name w:val="网格型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9">
    <w:name w:val="网格型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0">
    <w:name w:val="网格型3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1">
    <w:name w:val="网格型4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2">
    <w:name w:val="网格型5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3">
    <w:name w:val="网格型7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4">
    <w:name w:val="网格型8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5">
    <w:name w:val="网格型9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6">
    <w:name w:val="网格型10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7">
    <w:name w:val="网格型1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8">
    <w:name w:val="列表型 31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229">
    <w:name w:val="网格型14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0">
    <w:name w:val="网格型2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1">
    <w:name w:val="网格型3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2">
    <w:name w:val="网格型4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3">
    <w:name w:val="网格型52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4">
    <w:name w:val="列表型 73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35">
    <w:name w:val="流行型3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36">
    <w:name w:val="列表型 711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37">
    <w:name w:val="流行型11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38">
    <w:name w:val="专业型11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239">
    <w:name w:val="典雅型11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240">
    <w:name w:val="列表型 3MO11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241">
    <w:name w:val="网格型16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2">
    <w:name w:val="网格型2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3">
    <w:name w:val="网格型3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4">
    <w:name w:val="网格型4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5">
    <w:name w:val="网格型5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6">
    <w:name w:val="网格型6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7">
    <w:name w:val="列表型 712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248">
    <w:name w:val="表格主题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9">
    <w:name w:val="流行型12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250">
    <w:name w:val="专业型12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251">
    <w:name w:val="典雅型12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252">
    <w:name w:val="网格型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3">
    <w:name w:val="网格型2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4">
    <w:name w:val="网格型3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5">
    <w:name w:val="网格型4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6">
    <w:name w:val="网格型5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7">
    <w:name w:val="网格型7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8">
    <w:name w:val="网格型8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9">
    <w:name w:val="网格型9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0">
    <w:name w:val="网格型10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1">
    <w:name w:val="网格型1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2">
    <w:name w:val="网格型13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3">
    <w:name w:val="表格主题21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4">
    <w:name w:val="典雅型21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265">
    <w:name w:val="列表型 311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66">
    <w:name w:val="列表型 721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67">
    <w:name w:val="流行型21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68">
    <w:name w:val="专业型21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269">
    <w:name w:val="列表型 7111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70">
    <w:name w:val="列表型 31111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271">
    <w:name w:val="专业型111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272">
    <w:name w:val="流行型111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73">
    <w:name w:val="典雅型111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274">
    <w:name w:val="网格型14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5">
    <w:name w:val="网格型2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6">
    <w:name w:val="网格型3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7">
    <w:name w:val="网格型4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8">
    <w:name w:val="网格型52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9">
    <w:name w:val="列表型 731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80">
    <w:name w:val="流行型31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81">
    <w:name w:val="列表型 71111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82">
    <w:name w:val="流行型1111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83">
    <w:name w:val="Table Normal14"/>
    <w:semiHidden/>
    <w:unhideWhenUsed/>
    <w:qFormat/>
    <w:uiPriority w:val="2"/>
    <w:pPr>
      <w:widowControl w:val="0"/>
      <w:autoSpaceDE w:val="0"/>
      <w:autoSpaceDN w:val="0"/>
    </w:pPr>
    <w:rPr>
      <w:rFonts w:ascii="等线" w:hAnsi="等线" w:eastAsia="等线" w:cs="Calibri"/>
      <w:sz w:val="22"/>
      <w:szCs w:val="22"/>
      <w:lang w:eastAsia="en-US"/>
    </w:rPr>
    <w:tblPr>
      <w:tblCellMar>
        <w:top w:w="0" w:type="dxa"/>
        <w:left w:w="0" w:type="dxa"/>
        <w:bottom w:w="0" w:type="dxa"/>
        <w:right w:w="0" w:type="dxa"/>
      </w:tblCellMar>
    </w:tblPr>
  </w:style>
  <w:style w:type="table" w:customStyle="1" w:styleId="3284">
    <w:name w:val="网格型19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5">
    <w:name w:val="表格主题5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6">
    <w:name w:val="典雅型5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287">
    <w:name w:val="列表型 33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88">
    <w:name w:val="列表型 76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289">
    <w:name w:val="流行型6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290">
    <w:name w:val="专业型5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291">
    <w:name w:val="网格型55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2">
    <w:name w:val="网格型35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3">
    <w:name w:val="网格型25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4">
    <w:name w:val="网格型110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5">
    <w:name w:val="网格型45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6">
    <w:name w:val="网格型6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7">
    <w:name w:val="列表型 714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298">
    <w:name w:val="表格主题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9">
    <w:name w:val="流行型14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300">
    <w:name w:val="专业型14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301">
    <w:name w:val="典雅型14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302">
    <w:name w:val="网格型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3">
    <w:name w:val="网格型2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4">
    <w:name w:val="网格型3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5">
    <w:name w:val="网格型4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6">
    <w:name w:val="网格型5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7">
    <w:name w:val="网格型7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8">
    <w:name w:val="网格型8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9">
    <w:name w:val="网格型9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0">
    <w:name w:val="网格型10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1">
    <w:name w:val="网格型1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2">
    <w:name w:val="网格型1335"/>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3">
    <w:name w:val="表格主题235"/>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4">
    <w:name w:val="典雅型235"/>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315">
    <w:name w:val="列表型 313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316">
    <w:name w:val="列表型 7235"/>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317">
    <w:name w:val="流行型235"/>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318">
    <w:name w:val="专业型235"/>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319">
    <w:name w:val="网格型14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0">
    <w:name w:val="网格型2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1">
    <w:name w:val="网格型3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2">
    <w:name w:val="网格型4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3">
    <w:name w:val="网格型52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4">
    <w:name w:val="网格型61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5">
    <w:name w:val="列表型 7113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326">
    <w:name w:val="表格主题11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7">
    <w:name w:val="流行型113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328">
    <w:name w:val="专业型113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329">
    <w:name w:val="典雅型113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330">
    <w:name w:val="网格型1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1">
    <w:name w:val="网格型2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2">
    <w:name w:val="网格型3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3">
    <w:name w:val="网格型4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4">
    <w:name w:val="网格型51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5">
    <w:name w:val="网格型71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6">
    <w:name w:val="网格型8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7">
    <w:name w:val="网格型9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8">
    <w:name w:val="网格型10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9">
    <w:name w:val="网格型1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0">
    <w:name w:val="网格型13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1">
    <w:name w:val="表格主题2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2">
    <w:name w:val="典雅型213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343">
    <w:name w:val="列表型 3113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344">
    <w:name w:val="列表型 7213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345">
    <w:name w:val="流行型213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346">
    <w:name w:val="专业型213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347">
    <w:name w:val="列表型 71113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348">
    <w:name w:val="列表型 3111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349">
    <w:name w:val="专业型111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350">
    <w:name w:val="流行型1113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351">
    <w:name w:val="典雅型111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352">
    <w:name w:val="网格型131124"/>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3">
    <w:name w:val="表格主题21124"/>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4">
    <w:name w:val="典雅型21124"/>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3355">
    <w:name w:val="列表型 721124"/>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3356">
    <w:name w:val="流行型21124"/>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3357">
    <w:name w:val="专业型21124"/>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3358">
    <w:name w:val="网格型14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9">
    <w:name w:val="网格型2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0">
    <w:name w:val="网格型3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1">
    <w:name w:val="网格型4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2">
    <w:name w:val="网格型521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3">
    <w:name w:val="列表型 733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364">
    <w:name w:val="流行型33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365">
    <w:name w:val="网格型15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6">
    <w:name w:val="表格主题32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7">
    <w:name w:val="典雅型3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368">
    <w:name w:val="列表型 3MO1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369">
    <w:name w:val="列表型 74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370">
    <w:name w:val="流行型4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371">
    <w:name w:val="专业型3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372">
    <w:name w:val="网格型53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3">
    <w:name w:val="网格型33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4">
    <w:name w:val="网格型23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5">
    <w:name w:val="网格型16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6">
    <w:name w:val="网格型432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7">
    <w:name w:val="网格型62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8">
    <w:name w:val="列表型 7122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379">
    <w:name w:val="表格主题12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0">
    <w:name w:val="流行型122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381">
    <w:name w:val="专业型122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382">
    <w:name w:val="典雅型122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383">
    <w:name w:val="网格型1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4">
    <w:name w:val="网格型2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5">
    <w:name w:val="网格型3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6">
    <w:name w:val="网格型4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7">
    <w:name w:val="网格型51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8">
    <w:name w:val="网格型72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9">
    <w:name w:val="网格型8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0">
    <w:name w:val="网格型9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1">
    <w:name w:val="网格型10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2">
    <w:name w:val="网格型1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3">
    <w:name w:val="列表型 722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394">
    <w:name w:val="流行型22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395">
    <w:name w:val="列表型 7112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396">
    <w:name w:val="流行型112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397">
    <w:name w:val="专业型112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398">
    <w:name w:val="典雅型112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399">
    <w:name w:val="网格型13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0">
    <w:name w:val="表格主题22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1">
    <w:name w:val="典雅型22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402">
    <w:name w:val="专业型22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403">
    <w:name w:val="网格型5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4">
    <w:name w:val="网格型3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5">
    <w:name w:val="网格型2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6">
    <w:name w:val="网格型14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7">
    <w:name w:val="网格型422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8">
    <w:name w:val="网格型6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9">
    <w:name w:val="表格主题1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0">
    <w:name w:val="网格型1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1">
    <w:name w:val="网格型2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2">
    <w:name w:val="网格型3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3">
    <w:name w:val="网格型4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4">
    <w:name w:val="网格型51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5">
    <w:name w:val="网格型711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6">
    <w:name w:val="网格型8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7">
    <w:name w:val="网格型9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8">
    <w:name w:val="网格型10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9">
    <w:name w:val="网格型1211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0">
    <w:name w:val="网格型1331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1">
    <w:name w:val="表格主题231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2">
    <w:name w:val="典雅型231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423">
    <w:name w:val="列表型 7231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424">
    <w:name w:val="流行型231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425">
    <w:name w:val="专业型231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426">
    <w:name w:val="网格型20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7">
    <w:name w:val="表格主题6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8">
    <w:name w:val="典雅型6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429">
    <w:name w:val="列表型 3MO2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30">
    <w:name w:val="列表型 77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431">
    <w:name w:val="流行型7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432">
    <w:name w:val="专业型6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433">
    <w:name w:val="网格型56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4">
    <w:name w:val="网格型36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5">
    <w:name w:val="网格型26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6">
    <w:name w:val="网格型1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7">
    <w:name w:val="网格型46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8">
    <w:name w:val="网格型64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9">
    <w:name w:val="列表型 715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440">
    <w:name w:val="表格主题14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1">
    <w:name w:val="流行型15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442">
    <w:name w:val="专业型15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443">
    <w:name w:val="典雅型15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444">
    <w:name w:val="网格型115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5">
    <w:name w:val="网格型2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6">
    <w:name w:val="网格型3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7">
    <w:name w:val="网格型4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8">
    <w:name w:val="网格型51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9">
    <w:name w:val="网格型74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0">
    <w:name w:val="网格型8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1">
    <w:name w:val="网格型9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2">
    <w:name w:val="网格型10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3">
    <w:name w:val="网格型1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4">
    <w:name w:val="列表型 724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455">
    <w:name w:val="流行型24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456">
    <w:name w:val="列表型 71144"/>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457">
    <w:name w:val="流行型1144"/>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458">
    <w:name w:val="专业型114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459">
    <w:name w:val="典雅型114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460">
    <w:name w:val="网格型13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1">
    <w:name w:val="表格主题24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2">
    <w:name w:val="典雅型244"/>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463">
    <w:name w:val="列表型 3MO134"/>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64">
    <w:name w:val="专业型244"/>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465">
    <w:name w:val="网格型5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6">
    <w:name w:val="网格型3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7">
    <w:name w:val="网格型2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8">
    <w:name w:val="网格型14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9">
    <w:name w:val="网格型424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0">
    <w:name w:val="网格型6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1">
    <w:name w:val="表格主题1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2">
    <w:name w:val="网格型1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3">
    <w:name w:val="网格型2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4">
    <w:name w:val="网格型3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5">
    <w:name w:val="网格型4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6">
    <w:name w:val="网格型51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7">
    <w:name w:val="网格型7134"/>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8">
    <w:name w:val="网格型8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9">
    <w:name w:val="网格型9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0">
    <w:name w:val="网格型10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1">
    <w:name w:val="网格型12134"/>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2">
    <w:name w:val="网格型50"/>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3">
    <w:name w:val="表格主题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4">
    <w:name w:val="典雅型2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485">
    <w:name w:val="列表型 38"/>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86">
    <w:name w:val="列表型 72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487">
    <w:name w:val="流行型2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488">
    <w:name w:val="专业型2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489">
    <w:name w:val="网格型5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0">
    <w:name w:val="网格型3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1">
    <w:name w:val="网格型2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2">
    <w:name w:val="网格型13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3">
    <w:name w:val="网格型4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4">
    <w:name w:val="网格型6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5">
    <w:name w:val="列表型 71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496">
    <w:name w:val="表格主题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7">
    <w:name w:val="流行型1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498">
    <w:name w:val="专业型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499">
    <w:name w:val="典雅型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500">
    <w:name w:val="网格型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1">
    <w:name w:val="网格型2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2">
    <w:name w:val="网格型3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3">
    <w:name w:val="网格型4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4">
    <w:name w:val="网格型5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5">
    <w:name w:val="网格型7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6">
    <w:name w:val="网格型8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7">
    <w:name w:val="网格型9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8">
    <w:name w:val="网格型10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9">
    <w:name w:val="网格型1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0">
    <w:name w:val="列表型 318"/>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511">
    <w:name w:val="网格型14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2">
    <w:name w:val="网格型2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3">
    <w:name w:val="网格型3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4">
    <w:name w:val="网格型4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5">
    <w:name w:val="网格型5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6">
    <w:name w:val="列表型 73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17">
    <w:name w:val="流行型3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18">
    <w:name w:val="列表型 71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19">
    <w:name w:val="流行型1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20">
    <w:name w:val="专业型1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521">
    <w:name w:val="典雅型1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522">
    <w:name w:val="列表型 3MO18"/>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523">
    <w:name w:val="网格型16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4">
    <w:name w:val="网格型2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5">
    <w:name w:val="网格型3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6">
    <w:name w:val="网格型4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7">
    <w:name w:val="网格型5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8">
    <w:name w:val="网格型6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9">
    <w:name w:val="列表型 712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530">
    <w:name w:val="表格主题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1">
    <w:name w:val="流行型12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532">
    <w:name w:val="专业型12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533">
    <w:name w:val="典雅型12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534">
    <w:name w:val="网格型1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5">
    <w:name w:val="网格型2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6">
    <w:name w:val="网格型3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7">
    <w:name w:val="网格型4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8">
    <w:name w:val="网格型5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9">
    <w:name w:val="网格型7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0">
    <w:name w:val="网格型8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1">
    <w:name w:val="网格型9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2">
    <w:name w:val="网格型10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3">
    <w:name w:val="网格型1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4">
    <w:name w:val="网格型13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5">
    <w:name w:val="表格主题2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6">
    <w:name w:val="典雅型2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547">
    <w:name w:val="列表型 3118"/>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48">
    <w:name w:val="列表型 72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49">
    <w:name w:val="流行型2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50">
    <w:name w:val="专业型2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551">
    <w:name w:val="列表型 7111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52">
    <w:name w:val="列表型 31117"/>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553">
    <w:name w:val="专业型111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554">
    <w:name w:val="流行型111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55">
    <w:name w:val="典雅型111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556">
    <w:name w:val="网格型14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7">
    <w:name w:val="网格型2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8">
    <w:name w:val="网格型3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9">
    <w:name w:val="网格型4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0">
    <w:name w:val="网格型52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1">
    <w:name w:val="列表型 73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62">
    <w:name w:val="流行型3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63">
    <w:name w:val="列表型 71111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64">
    <w:name w:val="流行型1111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65">
    <w:name w:val="Table Normal6"/>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3566">
    <w:name w:val="网格型175"/>
    <w:basedOn w:val="88"/>
    <w:qFormat/>
    <w:uiPriority w:val="3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7">
    <w:name w:val="表格主题4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8">
    <w:name w:val="典雅型4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569">
    <w:name w:val="列表型 3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70">
    <w:name w:val="列表型 75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571">
    <w:name w:val="流行型5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572">
    <w:name w:val="专业型4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573">
    <w:name w:val="网格型5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4">
    <w:name w:val="网格型3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5">
    <w:name w:val="网格型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6">
    <w:name w:val="网格型18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7">
    <w:name w:val="网格型4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8">
    <w:name w:val="网格型6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9">
    <w:name w:val="列表型 71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580">
    <w:name w:val="表格主题1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1">
    <w:name w:val="流行型1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582">
    <w:name w:val="专业型13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583">
    <w:name w:val="典雅型13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584">
    <w:name w:val="网格型1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5">
    <w:name w:val="网格型2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6">
    <w:name w:val="网格型3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7">
    <w:name w:val="网格型4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8">
    <w:name w:val="网格型51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9">
    <w:name w:val="网格型72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0">
    <w:name w:val="网格型8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1">
    <w:name w:val="网格型9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2">
    <w:name w:val="网格型10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3">
    <w:name w:val="网格型1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4">
    <w:name w:val="列表型 31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595">
    <w:name w:val="网格型14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6">
    <w:name w:val="网格型2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7">
    <w:name w:val="网格型3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8">
    <w:name w:val="网格型4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9">
    <w:name w:val="网格型522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0">
    <w:name w:val="列表型 73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01">
    <w:name w:val="流行型3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02">
    <w:name w:val="列表型 71126"/>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03">
    <w:name w:val="流行型1126"/>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04">
    <w:name w:val="专业型1126"/>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605">
    <w:name w:val="典雅型1126"/>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606">
    <w:name w:val="列表型 3MO1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607">
    <w:name w:val="网格型16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8">
    <w:name w:val="网格型2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9">
    <w:name w:val="网格型3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0">
    <w:name w:val="网格型4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1">
    <w:name w:val="网格型5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2">
    <w:name w:val="网格型6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3">
    <w:name w:val="列表型 712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614">
    <w:name w:val="表格主题1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5">
    <w:name w:val="流行型12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616">
    <w:name w:val="专业型12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617">
    <w:name w:val="典雅型12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618">
    <w:name w:val="网格型1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9">
    <w:name w:val="网格型2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0">
    <w:name w:val="网格型3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1">
    <w:name w:val="网格型4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2">
    <w:name w:val="网格型51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3">
    <w:name w:val="网格型7116"/>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4">
    <w:name w:val="网格型8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5">
    <w:name w:val="网格型9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6">
    <w:name w:val="网格型10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7">
    <w:name w:val="网格型12116"/>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8">
    <w:name w:val="网格型13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9">
    <w:name w:val="表格主题21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0">
    <w:name w:val="典雅型21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631">
    <w:name w:val="列表型 311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32">
    <w:name w:val="列表型 721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33">
    <w:name w:val="流行型21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34">
    <w:name w:val="专业型21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635">
    <w:name w:val="列表型 7111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36">
    <w:name w:val="列表型 31111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637">
    <w:name w:val="专业型111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638">
    <w:name w:val="流行型111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39">
    <w:name w:val="典雅型111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640">
    <w:name w:val="网格型14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1">
    <w:name w:val="网格型2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2">
    <w:name w:val="网格型3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3">
    <w:name w:val="网格型4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4">
    <w:name w:val="网格型52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5">
    <w:name w:val="列表型 73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46">
    <w:name w:val="流行型3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47">
    <w:name w:val="列表型 71111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48">
    <w:name w:val="流行型1111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49">
    <w:name w:val="Table Normal15"/>
    <w:semiHidden/>
    <w:unhideWhenUsed/>
    <w:qFormat/>
    <w:uiPriority w:val="2"/>
    <w:pPr>
      <w:widowControl w:val="0"/>
      <w:autoSpaceDE w:val="0"/>
      <w:autoSpaceDN w:val="0"/>
    </w:pPr>
    <w:rPr>
      <w:rFonts w:ascii="等线" w:hAnsi="等线" w:eastAsia="等线" w:cs="Calibri"/>
      <w:sz w:val="22"/>
      <w:szCs w:val="22"/>
      <w:lang w:eastAsia="en-US"/>
    </w:rPr>
    <w:tblPr>
      <w:tblCellMar>
        <w:top w:w="0" w:type="dxa"/>
        <w:left w:w="0" w:type="dxa"/>
        <w:bottom w:w="0" w:type="dxa"/>
        <w:right w:w="0" w:type="dxa"/>
      </w:tblCellMar>
    </w:tblPr>
  </w:style>
  <w:style w:type="table" w:customStyle="1" w:styleId="3650">
    <w:name w:val="网格型19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1">
    <w:name w:val="表格主题5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2">
    <w:name w:val="典雅型5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653">
    <w:name w:val="列表型 33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54">
    <w:name w:val="列表型 76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655">
    <w:name w:val="流行型6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656">
    <w:name w:val="专业型5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657">
    <w:name w:val="网格型55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8">
    <w:name w:val="网格型35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9">
    <w:name w:val="网格型25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0">
    <w:name w:val="网格型110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1">
    <w:name w:val="网格型45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2">
    <w:name w:val="网格型6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3">
    <w:name w:val="列表型 714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664">
    <w:name w:val="表格主题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5">
    <w:name w:val="流行型14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666">
    <w:name w:val="专业型14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667">
    <w:name w:val="典雅型14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668">
    <w:name w:val="网格型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9">
    <w:name w:val="网格型2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0">
    <w:name w:val="网格型3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1">
    <w:name w:val="网格型4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2">
    <w:name w:val="网格型5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3">
    <w:name w:val="网格型7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4">
    <w:name w:val="网格型8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5">
    <w:name w:val="网格型9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6">
    <w:name w:val="网格型10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7">
    <w:name w:val="网格型1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8">
    <w:name w:val="网格型1336"/>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9">
    <w:name w:val="表格主题236"/>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0">
    <w:name w:val="典雅型236"/>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681">
    <w:name w:val="列表型 313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682">
    <w:name w:val="列表型 7236"/>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683">
    <w:name w:val="流行型236"/>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684">
    <w:name w:val="专业型236"/>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685">
    <w:name w:val="网格型14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6">
    <w:name w:val="网格型2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7">
    <w:name w:val="网格型3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8">
    <w:name w:val="网格型4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9">
    <w:name w:val="网格型52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0">
    <w:name w:val="网格型61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1">
    <w:name w:val="列表型 711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692">
    <w:name w:val="表格主题11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3">
    <w:name w:val="流行型11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694">
    <w:name w:val="专业型113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695">
    <w:name w:val="典雅型113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696">
    <w:name w:val="网格型1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7">
    <w:name w:val="网格型2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8">
    <w:name w:val="网格型3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9">
    <w:name w:val="网格型4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0">
    <w:name w:val="网格型51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1">
    <w:name w:val="网格型71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2">
    <w:name w:val="网格型8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3">
    <w:name w:val="网格型9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4">
    <w:name w:val="网格型10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5">
    <w:name w:val="网格型1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6">
    <w:name w:val="网格型13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7">
    <w:name w:val="表格主题2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8">
    <w:name w:val="典雅型213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09">
    <w:name w:val="列表型 3113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10">
    <w:name w:val="列表型 721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11">
    <w:name w:val="流行型21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12">
    <w:name w:val="专业型213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13">
    <w:name w:val="列表型 7111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14">
    <w:name w:val="列表型 3111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715">
    <w:name w:val="专业型111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16">
    <w:name w:val="流行型111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17">
    <w:name w:val="典雅型111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18">
    <w:name w:val="网格型131125"/>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9">
    <w:name w:val="表格主题21125"/>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0">
    <w:name w:val="典雅型21125"/>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customStyle="1" w:styleId="3721">
    <w:name w:val="列表型 721125"/>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cPr>
        <w:shd w:val="pct20" w:color="000000" w:fill="FFFFFF"/>
      </w:tcPr>
    </w:tblStylePr>
    <w:tblStylePr w:type="band2Horz">
      <w:tcPr>
        <w:shd w:val="pct25" w:color="FFFF00" w:fill="FFFFFF"/>
      </w:tcPr>
    </w:tblStylePr>
  </w:style>
  <w:style w:type="table" w:customStyle="1" w:styleId="3722">
    <w:name w:val="流行型21125"/>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shd w:val="pct20" w:color="000000" w:fill="FFFFFF"/>
      </w:tcPr>
    </w:tblStylePr>
    <w:tblStylePr w:type="band1Horz">
      <w:rPr>
        <w:color w:val="auto"/>
      </w:rPr>
      <w:tcPr>
        <w:shd w:val="pct5" w:color="000000" w:fill="FFFFFF"/>
      </w:tcPr>
    </w:tblStylePr>
    <w:tblStylePr w:type="band2Horz">
      <w:rPr>
        <w:color w:val="auto"/>
      </w:rPr>
      <w:tcPr>
        <w:shd w:val="pct20" w:color="000000" w:fill="FFFFFF"/>
      </w:tcPr>
    </w:tblStylePr>
  </w:style>
  <w:style w:type="table" w:customStyle="1" w:styleId="3723">
    <w:name w:val="专业型21125"/>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table" w:customStyle="1" w:styleId="3724">
    <w:name w:val="网格型14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5">
    <w:name w:val="网格型2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6">
    <w:name w:val="网格型3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7">
    <w:name w:val="网格型4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8">
    <w:name w:val="网格型521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9">
    <w:name w:val="列表型 733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30">
    <w:name w:val="流行型33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31">
    <w:name w:val="网格型15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2">
    <w:name w:val="表格主题32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3">
    <w:name w:val="典雅型3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34">
    <w:name w:val="列表型 3MO1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35">
    <w:name w:val="列表型 74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36">
    <w:name w:val="流行型4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37">
    <w:name w:val="专业型3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38">
    <w:name w:val="网格型53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9">
    <w:name w:val="网格型33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0">
    <w:name w:val="网格型23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1">
    <w:name w:val="网格型16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2">
    <w:name w:val="网格型432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3">
    <w:name w:val="网格型62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4">
    <w:name w:val="列表型 7122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745">
    <w:name w:val="表格主题12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6">
    <w:name w:val="流行型122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747">
    <w:name w:val="专业型122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748">
    <w:name w:val="典雅型122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749">
    <w:name w:val="网格型1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0">
    <w:name w:val="网格型2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1">
    <w:name w:val="网格型3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2">
    <w:name w:val="网格型4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3">
    <w:name w:val="网格型51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4">
    <w:name w:val="网格型72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5">
    <w:name w:val="网格型8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6">
    <w:name w:val="网格型9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7">
    <w:name w:val="网格型10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8">
    <w:name w:val="网格型1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9">
    <w:name w:val="列表型 722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60">
    <w:name w:val="流行型22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61">
    <w:name w:val="列表型 7112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762">
    <w:name w:val="流行型112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763">
    <w:name w:val="专业型112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764">
    <w:name w:val="典雅型112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765">
    <w:name w:val="网格型13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6">
    <w:name w:val="表格主题22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7">
    <w:name w:val="典雅型22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68">
    <w:name w:val="专业型22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69">
    <w:name w:val="网格型5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0">
    <w:name w:val="网格型3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1">
    <w:name w:val="网格型2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2">
    <w:name w:val="网格型14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3">
    <w:name w:val="网格型422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4">
    <w:name w:val="网格型6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5">
    <w:name w:val="表格主题1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6">
    <w:name w:val="网格型1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7">
    <w:name w:val="网格型2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8">
    <w:name w:val="网格型3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9">
    <w:name w:val="网格型4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0">
    <w:name w:val="网格型51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1">
    <w:name w:val="网格型711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2">
    <w:name w:val="网格型8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3">
    <w:name w:val="网格型9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4">
    <w:name w:val="网格型10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5">
    <w:name w:val="网格型1211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6">
    <w:name w:val="网格型1331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7">
    <w:name w:val="表格主题231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8">
    <w:name w:val="典雅型231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89">
    <w:name w:val="列表型 7231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90">
    <w:name w:val="流行型231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91">
    <w:name w:val="专业型231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92">
    <w:name w:val="网格型20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3">
    <w:name w:val="表格主题6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4">
    <w:name w:val="典雅型6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95">
    <w:name w:val="列表型 3MO2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96">
    <w:name w:val="列表型 77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97">
    <w:name w:val="流行型7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98">
    <w:name w:val="专业型6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99">
    <w:name w:val="网格型56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0">
    <w:name w:val="网格型36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1">
    <w:name w:val="网格型26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2">
    <w:name w:val="网格型1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3">
    <w:name w:val="网格型46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4">
    <w:name w:val="网格型64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5">
    <w:name w:val="列表型 715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806">
    <w:name w:val="表格主题14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7">
    <w:name w:val="流行型15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808">
    <w:name w:val="专业型15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809">
    <w:name w:val="典雅型15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810">
    <w:name w:val="网格型115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1">
    <w:name w:val="网格型2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2">
    <w:name w:val="网格型3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3">
    <w:name w:val="网格型4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4">
    <w:name w:val="网格型51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5">
    <w:name w:val="网格型74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6">
    <w:name w:val="网格型8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7">
    <w:name w:val="网格型9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8">
    <w:name w:val="网格型10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9">
    <w:name w:val="网格型1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0">
    <w:name w:val="列表型 724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821">
    <w:name w:val="流行型24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822">
    <w:name w:val="列表型 71145"/>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823">
    <w:name w:val="流行型1145"/>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824">
    <w:name w:val="专业型114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825">
    <w:name w:val="典雅型114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826">
    <w:name w:val="网格型13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7">
    <w:name w:val="表格主题24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8">
    <w:name w:val="典雅型245"/>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829">
    <w:name w:val="列表型 3MO135"/>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830">
    <w:name w:val="专业型245"/>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831">
    <w:name w:val="网格型5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2">
    <w:name w:val="网格型3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3">
    <w:name w:val="网格型2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4">
    <w:name w:val="网格型14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5">
    <w:name w:val="网格型424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6">
    <w:name w:val="网格型6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7">
    <w:name w:val="表格主题1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8">
    <w:name w:val="网格型1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9">
    <w:name w:val="网格型2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0">
    <w:name w:val="网格型3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1">
    <w:name w:val="网格型4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2">
    <w:name w:val="网格型51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3">
    <w:name w:val="网格型7135"/>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4">
    <w:name w:val="网格型8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5">
    <w:name w:val="网格型9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6">
    <w:name w:val="网格型10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7">
    <w:name w:val="网格型12135"/>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8">
    <w:name w:val="网格型6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9">
    <w:name w:val="表格主题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0">
    <w:name w:val="典雅型3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851">
    <w:name w:val="列表型 39"/>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852">
    <w:name w:val="列表型 73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853">
    <w:name w:val="流行型3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854">
    <w:name w:val="专业型3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855">
    <w:name w:val="网格型5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6">
    <w:name w:val="网格型3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7">
    <w:name w:val="网格型23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8">
    <w:name w:val="网格型14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9">
    <w:name w:val="网格型4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0">
    <w:name w:val="网格型6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1">
    <w:name w:val="列表型 712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862">
    <w:name w:val="表格主题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3">
    <w:name w:val="流行型12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864">
    <w:name w:val="专业型12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865">
    <w:name w:val="典雅型12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866">
    <w:name w:val="网格型1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7">
    <w:name w:val="网格型2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8">
    <w:name w:val="网格型3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9">
    <w:name w:val="网格型4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0">
    <w:name w:val="网格型5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1">
    <w:name w:val="网格型7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2">
    <w:name w:val="网格型8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3">
    <w:name w:val="网格型9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4">
    <w:name w:val="网格型10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5">
    <w:name w:val="网格型1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6">
    <w:name w:val="列表型 319"/>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877">
    <w:name w:val="网格型14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8">
    <w:name w:val="网格型2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9">
    <w:name w:val="网格型3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0">
    <w:name w:val="网格型4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1">
    <w:name w:val="网格型52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2">
    <w:name w:val="网格型6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3">
    <w:name w:val="列表型 711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884">
    <w:name w:val="表格主题1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5">
    <w:name w:val="流行型11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886">
    <w:name w:val="专业型1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887">
    <w:name w:val="典雅型1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888">
    <w:name w:val="网格型1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9">
    <w:name w:val="网格型2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0">
    <w:name w:val="网格型3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1">
    <w:name w:val="网格型4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2">
    <w:name w:val="网格型5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3">
    <w:name w:val="网格型7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4">
    <w:name w:val="网格型8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5">
    <w:name w:val="网格型9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6">
    <w:name w:val="网格型10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7">
    <w:name w:val="网格型1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8">
    <w:name w:val="网格型13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9">
    <w:name w:val="表格主题2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0">
    <w:name w:val="典雅型2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901">
    <w:name w:val="列表型 3119"/>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902">
    <w:name w:val="列表型 721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03">
    <w:name w:val="流行型21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04">
    <w:name w:val="专业型2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905">
    <w:name w:val="列表型 711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06">
    <w:name w:val="列表型 31118"/>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3907">
    <w:name w:val="专业型111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908">
    <w:name w:val="流行型11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09">
    <w:name w:val="典雅型111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910">
    <w:name w:val="网格型14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1">
    <w:name w:val="网格型2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2">
    <w:name w:val="网格型3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3">
    <w:name w:val="网格型4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4">
    <w:name w:val="网格型52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5">
    <w:name w:val="列表型 73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16">
    <w:name w:val="流行型3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17">
    <w:name w:val="列表型 3MO19"/>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918">
    <w:name w:val="网格型53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9">
    <w:name w:val="网格型33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0">
    <w:name w:val="网格型23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1">
    <w:name w:val="网格型16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2">
    <w:name w:val="网格型43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3">
    <w:name w:val="网格型6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4">
    <w:name w:val="列表型 712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925">
    <w:name w:val="表格主题1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6">
    <w:name w:val="流行型12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927">
    <w:name w:val="专业型12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928">
    <w:name w:val="典雅型12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929">
    <w:name w:val="网格型1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0">
    <w:name w:val="网格型2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1">
    <w:name w:val="网格型3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2">
    <w:name w:val="网格型4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3">
    <w:name w:val="网格型51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4">
    <w:name w:val="网格型72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5">
    <w:name w:val="网格型8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6">
    <w:name w:val="网格型9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7">
    <w:name w:val="网格型10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8">
    <w:name w:val="网格型1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9">
    <w:name w:val="列表型 7112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940">
    <w:name w:val="流行型112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941">
    <w:name w:val="专业型112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942">
    <w:name w:val="典雅型112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943">
    <w:name w:val="网格型5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4">
    <w:name w:val="网格型3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5">
    <w:name w:val="网格型2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6">
    <w:name w:val="网格型14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7">
    <w:name w:val="网格型422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8">
    <w:name w:val="网格型6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9">
    <w:name w:val="表格主题1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0">
    <w:name w:val="网格型1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1">
    <w:name w:val="网格型2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2">
    <w:name w:val="网格型3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3">
    <w:name w:val="网格型4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4">
    <w:name w:val="网格型51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5">
    <w:name w:val="网格型711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6">
    <w:name w:val="网格型8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7">
    <w:name w:val="网格型9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8">
    <w:name w:val="网格型10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9">
    <w:name w:val="网格型1211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0">
    <w:name w:val="网格型1337"/>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1">
    <w:name w:val="表格主题237"/>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2">
    <w:name w:val="典雅型237"/>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963">
    <w:name w:val="列表型 723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64">
    <w:name w:val="流行型23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65">
    <w:name w:val="专业型237"/>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966">
    <w:name w:val="网格型7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7">
    <w:name w:val="表格主题3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8">
    <w:name w:val="列表型 310"/>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969">
    <w:name w:val="列表型 74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70">
    <w:name w:val="流行型4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71">
    <w:name w:val="网格型53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2">
    <w:name w:val="网格型33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3">
    <w:name w:val="网格型23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4">
    <w:name w:val="网格型15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5">
    <w:name w:val="网格型43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6">
    <w:name w:val="网格型6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7">
    <w:name w:val="列表型 7129"/>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978">
    <w:name w:val="表格主题1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9">
    <w:name w:val="流行型129"/>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980">
    <w:name w:val="专业型12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981">
    <w:name w:val="典雅型12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982">
    <w:name w:val="网格型1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3">
    <w:name w:val="网格型2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4">
    <w:name w:val="网格型3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5">
    <w:name w:val="网格型4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6">
    <w:name w:val="网格型51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7">
    <w:name w:val="网格型72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8">
    <w:name w:val="网格型8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9">
    <w:name w:val="网格型9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0">
    <w:name w:val="网格型10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1">
    <w:name w:val="网格型122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2">
    <w:name w:val="网格型1320"/>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3">
    <w:name w:val="表格主题220"/>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4">
    <w:name w:val="典雅型220"/>
    <w:basedOn w:val="88"/>
    <w:qFormat/>
    <w:uiPriority w:val="0"/>
    <w:pPr>
      <w:widowControl w:val="0"/>
      <w:spacing w:before="93" w:beforeLines="30" w:after="93"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995">
    <w:name w:val="列表型 3110"/>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996">
    <w:name w:val="列表型 7220"/>
    <w:basedOn w:val="88"/>
    <w:qFormat/>
    <w:uiPriority w:val="0"/>
    <w:pPr>
      <w:widowControl w:val="0"/>
      <w:spacing w:before="93" w:beforeLines="30" w:after="93"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3997">
    <w:name w:val="流行型220"/>
    <w:basedOn w:val="88"/>
    <w:qFormat/>
    <w:uiPriority w:val="0"/>
    <w:pPr>
      <w:widowControl w:val="0"/>
      <w:spacing w:before="93" w:beforeLines="30" w:after="93"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3998">
    <w:name w:val="专业型220"/>
    <w:basedOn w:val="88"/>
    <w:qFormat/>
    <w:uiPriority w:val="0"/>
    <w:pPr>
      <w:widowControl w:val="0"/>
      <w:spacing w:before="93" w:beforeLines="30" w:after="93"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999">
    <w:name w:val="网格型14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0">
    <w:name w:val="网格型2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1">
    <w:name w:val="网格型3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2">
    <w:name w:val="网格型4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3">
    <w:name w:val="网格型52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4">
    <w:name w:val="网格型6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5">
    <w:name w:val="列表型 7112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4006">
    <w:name w:val="表格主题1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7">
    <w:name w:val="流行型112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4008">
    <w:name w:val="专业型1119"/>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4009">
    <w:name w:val="典雅型1119"/>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4010">
    <w:name w:val="网格型1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1">
    <w:name w:val="网格型2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2">
    <w:name w:val="网格型3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3">
    <w:name w:val="网格型4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4">
    <w:name w:val="网格型51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5">
    <w:name w:val="网格型7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6">
    <w:name w:val="网格型8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7">
    <w:name w:val="网格型9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8">
    <w:name w:val="网格型10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9">
    <w:name w:val="网格型12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0">
    <w:name w:val="网格型13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1">
    <w:name w:val="表格主题2110"/>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2">
    <w:name w:val="典雅型2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4023">
    <w:name w:val="列表型 31110"/>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24">
    <w:name w:val="列表型 721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4025">
    <w:name w:val="流行型21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4026">
    <w:name w:val="专业型2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4027">
    <w:name w:val="列表型 711117"/>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4028">
    <w:name w:val="列表型 31119"/>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blStylePr>
  </w:style>
  <w:style w:type="table" w:customStyle="1" w:styleId="4029">
    <w:name w:val="专业型111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4030">
    <w:name w:val="流行型11117"/>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4031">
    <w:name w:val="典雅型111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4032">
    <w:name w:val="网格型14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3">
    <w:name w:val="网格型2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4">
    <w:name w:val="网格型3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5">
    <w:name w:val="网格型4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6">
    <w:name w:val="网格型52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7">
    <w:name w:val="列表型 73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4038">
    <w:name w:val="流行型3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4039">
    <w:name w:val="列表型 3MO110"/>
    <w:basedOn w:val="88"/>
    <w:qFormat/>
    <w:uiPriority w:val="0"/>
    <w:pPr>
      <w:widowControl w:val="0"/>
      <w:jc w:val="both"/>
    </w:pPr>
    <w:rPr>
      <w:rFonts w:cs="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40">
    <w:name w:val="网格型53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1">
    <w:name w:val="网格型33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2">
    <w:name w:val="网格型23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3">
    <w:name w:val="网格型16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4">
    <w:name w:val="网格型43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5">
    <w:name w:val="网格型6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6">
    <w:name w:val="列表型 71210"/>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4047">
    <w:name w:val="表格主题1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8">
    <w:name w:val="流行型1210"/>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4049">
    <w:name w:val="专业型1210"/>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4050">
    <w:name w:val="典雅型1210"/>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4051">
    <w:name w:val="网格型11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2">
    <w:name w:val="网格型212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3">
    <w:name w:val="网格型3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4">
    <w:name w:val="网格型4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5">
    <w:name w:val="网格型51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6">
    <w:name w:val="网格型72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7">
    <w:name w:val="网格型8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8">
    <w:name w:val="网格型9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9">
    <w:name w:val="网格型10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0">
    <w:name w:val="网格型1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1">
    <w:name w:val="列表型 71128"/>
    <w:basedOn w:val="88"/>
    <w:qFormat/>
    <w:uiPriority w:val="0"/>
    <w:pPr>
      <w:widowControl w:val="0"/>
      <w:spacing w:beforeLines="30" w:afterLines="30" w:line="300" w:lineRule="auto"/>
      <w:ind w:firstLine="480" w:firstLineChars="200"/>
      <w:jc w:val="both"/>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l2br w:val="nil"/>
          <w:tr2bl w:val="nil"/>
        </w:tcBorders>
        <w:shd w:val="solid" w:color="C0C0C0" w:fill="FFFFFF"/>
      </w:tcPr>
    </w:tblStylePr>
    <w:tblStylePr w:type="lastRow">
      <w:rPr>
        <w:b/>
        <w:bCs/>
      </w:rPr>
      <w:tcPr>
        <w:tcBorders>
          <w:top w:val="single" w:color="008000" w:sz="12" w:space="0"/>
          <w:tl2br w:val="nil"/>
          <w:tr2bl w:val="nil"/>
        </w:tcBorders>
      </w:tcPr>
    </w:tblStylePr>
    <w:tblStylePr w:type="firstCol">
      <w:rPr>
        <w:b/>
        <w:bCs/>
      </w:rPr>
      <w:tcPr>
        <w:tcBorders>
          <w:tl2br w:val="nil"/>
          <w:tr2bl w:val="nil"/>
        </w:tcBorders>
      </w:tcPr>
    </w:tblStylePr>
    <w:tblStylePr w:type="lastCol">
      <w:rPr>
        <w:b/>
        <w:bCs/>
      </w:rPr>
      <w:tcPr>
        <w:tcBorders>
          <w:tl2br w:val="nil"/>
          <w:tr2bl w:val="nil"/>
        </w:tcBorders>
      </w:tcPr>
    </w:tblStyle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style>
  <w:style w:type="table" w:customStyle="1" w:styleId="4062">
    <w:name w:val="流行型1128"/>
    <w:basedOn w:val="88"/>
    <w:qFormat/>
    <w:uiPriority w:val="0"/>
    <w:pPr>
      <w:widowControl w:val="0"/>
      <w:spacing w:beforeLines="30" w:afterLines="30" w:line="300" w:lineRule="auto"/>
      <w:ind w:firstLine="480" w:firstLineChars="200"/>
      <w:jc w:val="both"/>
    </w:pPr>
    <w:rPr>
      <w:rFonts w:cs="Calibri"/>
    </w:rPr>
    <w:tblPr>
      <w:tblBorders>
        <w:insideH w:val="single" w:color="FFFFFF" w:sz="18" w:space="0"/>
        <w:insideV w:val="single" w:color="FFFFFF" w:sz="18" w:space="0"/>
      </w:tblBorders>
    </w:tblPr>
    <w:tblStylePr w:type="firstRow">
      <w:rPr>
        <w:b/>
        <w:bCs/>
        <w:color w:val="auto"/>
      </w:rPr>
      <w:tcPr>
        <w:tcBorders>
          <w:tl2br w:val="nil"/>
          <w:tr2bl w:val="nil"/>
        </w:tcBorders>
        <w:shd w:val="pct20" w:color="000000" w:fill="FFFFFF"/>
      </w:tcPr>
    </w:tblStyle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style>
  <w:style w:type="table" w:customStyle="1" w:styleId="4063">
    <w:name w:val="专业型1128"/>
    <w:basedOn w:val="88"/>
    <w:qFormat/>
    <w:uiPriority w:val="0"/>
    <w:pPr>
      <w:widowControl w:val="0"/>
      <w:spacing w:beforeLines="30" w:afterLines="30" w:line="300" w:lineRule="auto"/>
      <w:ind w:firstLine="480" w:firstLineChars="200"/>
      <w:jc w:val="both"/>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4064">
    <w:name w:val="典雅型1128"/>
    <w:basedOn w:val="88"/>
    <w:qFormat/>
    <w:uiPriority w:val="0"/>
    <w:pPr>
      <w:widowControl w:val="0"/>
      <w:spacing w:beforeLines="30" w:afterLines="30" w:line="300" w:lineRule="auto"/>
      <w:ind w:firstLine="480" w:firstLineChars="200"/>
      <w:jc w:val="both"/>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4065">
    <w:name w:val="网格型5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6">
    <w:name w:val="网格型3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7">
    <w:name w:val="网格型2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8">
    <w:name w:val="网格型14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9">
    <w:name w:val="网格型422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0">
    <w:name w:val="网格型6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1">
    <w:name w:val="表格主题1119"/>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2">
    <w:name w:val="网格型111110"/>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3">
    <w:name w:val="网格型2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4">
    <w:name w:val="网格型3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5">
    <w:name w:val="网格型4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6">
    <w:name w:val="网格型51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7">
    <w:name w:val="网格型7118"/>
    <w:basedOn w:val="88"/>
    <w:qFormat/>
    <w:uiPriority w:val="0"/>
    <w:pPr>
      <w:widowControl w:val="0"/>
      <w:spacing w:beforeLines="30"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8">
    <w:name w:val="网格型8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9">
    <w:name w:val="网格型9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0">
    <w:name w:val="网格型10118"/>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1">
    <w:name w:val="网格型12119"/>
    <w:basedOn w:val="88"/>
    <w:qFormat/>
    <w:uiPriority w:val="0"/>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2">
    <w:name w:val="网格型1330"/>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3">
    <w:name w:val="表格主题230"/>
    <w:basedOn w:val="88"/>
    <w:qFormat/>
    <w:uiPriority w:val="0"/>
    <w:pPr>
      <w:widowControl w:val="0"/>
      <w:spacing w:before="93" w:beforeLines="30" w:after="93" w:afterLines="30" w:line="300" w:lineRule="auto"/>
      <w:ind w:firstLine="480" w:firstLineChars="20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84">
    <w:name w:val="修订12"/>
    <w:hidden/>
    <w:unhideWhenUsed/>
    <w:qFormat/>
    <w:uiPriority w:val="99"/>
    <w:rPr>
      <w:rFonts w:ascii="Times New Roman" w:hAnsi="Times New Roman" w:eastAsia="宋体" w:cs="Times New Roman"/>
      <w:kern w:val="2"/>
      <w:sz w:val="21"/>
      <w:szCs w:val="24"/>
      <w:lang w:val="en-US" w:eastAsia="zh-CN" w:bidi="ar-SA"/>
    </w:rPr>
  </w:style>
  <w:style w:type="paragraph" w:customStyle="1" w:styleId="4085">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86">
    <w:name w:val="正文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8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88">
    <w:name w:val="样式8"/>
    <w:qFormat/>
    <w:uiPriority w:val="0"/>
    <w:pPr>
      <w:ind w:right="360"/>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wm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98</Pages>
  <Words>53929</Words>
  <Characters>64553</Characters>
  <Lines>517</Lines>
  <Paragraphs>145</Paragraphs>
  <TotalTime>61</TotalTime>
  <ScaleCrop>false</ScaleCrop>
  <LinksUpToDate>false</LinksUpToDate>
  <CharactersWithSpaces>65725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2023-08-31T22:05:00Z</dcterms:created>
  <dc:creator>WY</dc:creator>
  <cp:lastModifiedBy>user1</cp:lastModifiedBy>
  <cp:lastPrinted>2026-04-19T10:38:00Z</cp:lastPrinted>
  <dcterms:modified xsi:type="dcterms:W3CDTF">2026-05-13T08:59:33Z</dcterms:modified>
  <dc:title>新兴县自然资源局文件</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0BED9A7B391A4749AC931C7ABAABABAE_13</vt:lpwstr>
  </property>
  <property fmtid="{D5CDD505-2E9C-101B-9397-08002B2CF9AE}" pid="4" name="KSOTemplateDocerSaveRecord">
    <vt:lpwstr>eyJoZGlkIjoiNTRmZTEzOWQ2ODYyN2Q4YzQzMGQ1ZGYzMGY1NWYxYjQiLCJ1c2VySWQiOiI1NTMxMDU2OTEifQ==</vt:lpwstr>
  </property>
</Properties>
</file>